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59" w:rsidRDefault="000F0959" w:rsidP="000F0959">
      <w:pPr>
        <w:jc w:val="center"/>
        <w:rPr>
          <w:rFonts w:ascii="Tahoma" w:hAnsi="Tahoma" w:cs="Tahoma"/>
          <w:b/>
          <w:sz w:val="72"/>
          <w:szCs w:val="72"/>
        </w:rPr>
      </w:pPr>
    </w:p>
    <w:p w:rsidR="000F0959" w:rsidRPr="004C2C53" w:rsidRDefault="000F0959" w:rsidP="000F0959">
      <w:pPr>
        <w:jc w:val="center"/>
        <w:rPr>
          <w:rFonts w:ascii="Tahoma" w:hAnsi="Tahoma" w:cs="Tahoma"/>
          <w:b/>
          <w:sz w:val="72"/>
          <w:szCs w:val="72"/>
        </w:rPr>
      </w:pPr>
      <w:r w:rsidRPr="004C2C53">
        <w:rPr>
          <w:rFonts w:ascii="Tahoma" w:hAnsi="Tahoma" w:cs="Tahoma"/>
          <w:b/>
          <w:sz w:val="72"/>
          <w:szCs w:val="72"/>
        </w:rPr>
        <w:t>ISRI Circle of Safety Excellence Occupational Awards Program</w:t>
      </w:r>
    </w:p>
    <w:p w:rsidR="000F0959" w:rsidRDefault="000F0959" w:rsidP="000F0959">
      <w:pPr>
        <w:jc w:val="center"/>
        <w:rPr>
          <w:rFonts w:ascii="Tahoma" w:hAnsi="Tahoma" w:cs="Tahoma"/>
          <w:b/>
          <w:sz w:val="26"/>
          <w:szCs w:val="26"/>
        </w:rPr>
      </w:pPr>
      <w:r w:rsidRPr="00734191">
        <w:rPr>
          <w:rFonts w:ascii="Tahoma" w:hAnsi="Tahoma" w:cs="Tahoma"/>
          <w:noProof/>
          <w:color w:val="426D97"/>
          <w:sz w:val="18"/>
          <w:szCs w:val="18"/>
        </w:rPr>
        <w:drawing>
          <wp:inline distT="0" distB="0" distL="0" distR="0" wp14:anchorId="6242F7B9" wp14:editId="3E265996">
            <wp:extent cx="2227811" cy="1059231"/>
            <wp:effectExtent l="0" t="0" r="1270" b="7620"/>
            <wp:docPr id="1" name="ctl00_HeaderLogo" descr="Logo">
              <a:hlinkClick xmlns:a="http://schemas.openxmlformats.org/drawingml/2006/main" r:id="rId5" tooltip="&quot;ISRI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Logo" descr="Logo">
                      <a:hlinkClick r:id="rId5" tooltip="&quot;ISRI Home Page&quot;"/>
                    </pic:cNvPr>
                    <pic:cNvPicPr>
                      <a:picLocks noChangeAspect="1" noChangeArrowheads="1"/>
                    </pic:cNvPicPr>
                  </pic:nvPicPr>
                  <pic:blipFill>
                    <a:blip r:embed="rId6" cstate="print"/>
                    <a:srcRect/>
                    <a:stretch>
                      <a:fillRect/>
                    </a:stretch>
                  </pic:blipFill>
                  <pic:spPr bwMode="auto">
                    <a:xfrm>
                      <a:off x="0" y="0"/>
                      <a:ext cx="2299318" cy="1093230"/>
                    </a:xfrm>
                    <a:prstGeom prst="rect">
                      <a:avLst/>
                    </a:prstGeom>
                    <a:noFill/>
                    <a:ln w="9525">
                      <a:noFill/>
                      <a:miter lim="800000"/>
                      <a:headEnd/>
                      <a:tailEnd/>
                    </a:ln>
                  </pic:spPr>
                </pic:pic>
              </a:graphicData>
            </a:graphic>
          </wp:inline>
        </w:drawing>
      </w:r>
      <w:r>
        <w:rPr>
          <w:noProof/>
        </w:rPr>
        <w:drawing>
          <wp:inline distT="0" distB="0" distL="0" distR="0" wp14:anchorId="6047A01D" wp14:editId="36D66375">
            <wp:extent cx="1068319" cy="1001134"/>
            <wp:effectExtent l="0" t="0" r="0" b="8890"/>
            <wp:docPr id="1026" name="Picture 2" descr="https://www.isri.org/images/default-source/default-album/cos_4c__2015.jpg?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isri.org/images/default-source/default-album/cos_4c__2015.jpg?sfvrs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244" cy="1056354"/>
                    </a:xfrm>
                    <a:prstGeom prst="rect">
                      <a:avLst/>
                    </a:prstGeom>
                    <a:noFill/>
                    <a:extLst/>
                  </pic:spPr>
                </pic:pic>
              </a:graphicData>
            </a:graphic>
          </wp:inline>
        </w:drawing>
      </w:r>
    </w:p>
    <w:p w:rsidR="000F0959" w:rsidRPr="003B43F7" w:rsidRDefault="000F0959" w:rsidP="000F0959">
      <w:pPr>
        <w:jc w:val="center"/>
        <w:rPr>
          <w:rFonts w:ascii="Tahoma" w:hAnsi="Tahoma" w:cs="Tahoma"/>
          <w:b/>
          <w:sz w:val="56"/>
          <w:szCs w:val="56"/>
        </w:rPr>
      </w:pPr>
      <w:r w:rsidRPr="003B43F7">
        <w:rPr>
          <w:rFonts w:ascii="Tahoma" w:hAnsi="Tahoma" w:cs="Tahoma"/>
          <w:b/>
          <w:sz w:val="56"/>
          <w:szCs w:val="56"/>
        </w:rPr>
        <w:t>Awards Period 2019</w:t>
      </w:r>
    </w:p>
    <w:p w:rsidR="000F0959" w:rsidRPr="003B43F7" w:rsidRDefault="000F0959" w:rsidP="000F0959">
      <w:pPr>
        <w:jc w:val="center"/>
        <w:rPr>
          <w:rFonts w:ascii="Tahoma" w:hAnsi="Tahoma" w:cs="Tahoma"/>
          <w:b/>
          <w:sz w:val="56"/>
          <w:szCs w:val="56"/>
        </w:rPr>
      </w:pPr>
      <w:r w:rsidRPr="003B43F7">
        <w:rPr>
          <w:rFonts w:ascii="Tahoma" w:hAnsi="Tahoma" w:cs="Tahoma"/>
          <w:b/>
          <w:sz w:val="56"/>
          <w:szCs w:val="56"/>
        </w:rPr>
        <w:t>Registration Period</w:t>
      </w:r>
    </w:p>
    <w:p w:rsidR="003B43F7" w:rsidRDefault="000F0959" w:rsidP="000F0959">
      <w:pPr>
        <w:jc w:val="center"/>
        <w:rPr>
          <w:rFonts w:ascii="Tahoma" w:hAnsi="Tahoma" w:cs="Tahoma"/>
          <w:b/>
          <w:sz w:val="56"/>
          <w:szCs w:val="56"/>
        </w:rPr>
      </w:pPr>
      <w:r w:rsidRPr="003B43F7">
        <w:rPr>
          <w:rFonts w:ascii="Tahoma" w:hAnsi="Tahoma" w:cs="Tahoma"/>
          <w:b/>
          <w:sz w:val="56"/>
          <w:szCs w:val="56"/>
        </w:rPr>
        <w:t xml:space="preserve">Jan. 1 – </w:t>
      </w:r>
      <w:r w:rsidR="002B31EF" w:rsidRPr="003B43F7">
        <w:rPr>
          <w:rFonts w:ascii="Tahoma" w:hAnsi="Tahoma" w:cs="Tahoma"/>
          <w:b/>
          <w:sz w:val="56"/>
          <w:szCs w:val="56"/>
        </w:rPr>
        <w:t>May 15, 2020</w:t>
      </w:r>
    </w:p>
    <w:p w:rsidR="000F0959" w:rsidRPr="003B43F7" w:rsidRDefault="003B43F7" w:rsidP="000F0959">
      <w:pPr>
        <w:jc w:val="center"/>
        <w:rPr>
          <w:rFonts w:ascii="Tahoma" w:hAnsi="Tahoma" w:cs="Tahoma"/>
          <w:b/>
          <w:sz w:val="32"/>
          <w:szCs w:val="32"/>
        </w:rPr>
      </w:pPr>
      <w:r w:rsidRPr="003B43F7">
        <w:rPr>
          <w:rFonts w:ascii="Tahoma" w:hAnsi="Tahoma" w:cs="Tahoma"/>
          <w:b/>
          <w:sz w:val="32"/>
          <w:szCs w:val="32"/>
          <w:highlight w:val="lightGray"/>
        </w:rPr>
        <w:t>(This document is to be used for guidance only, please refer to the COSE Online Survey Form when registering)</w:t>
      </w:r>
      <w:r w:rsidRPr="003B43F7">
        <w:rPr>
          <w:rFonts w:ascii="Tahoma" w:hAnsi="Tahoma" w:cs="Tahoma"/>
          <w:b/>
          <w:sz w:val="32"/>
          <w:szCs w:val="32"/>
        </w:rPr>
        <w:t xml:space="preserve"> </w:t>
      </w:r>
      <w:r w:rsidR="000F0959" w:rsidRPr="003B43F7">
        <w:rPr>
          <w:rFonts w:ascii="Tahoma" w:hAnsi="Tahoma" w:cs="Tahoma"/>
          <w:b/>
          <w:sz w:val="32"/>
          <w:szCs w:val="32"/>
        </w:rPr>
        <w:t xml:space="preserve"> </w:t>
      </w:r>
    </w:p>
    <w:p w:rsidR="000F0959" w:rsidRPr="007D4E9A" w:rsidRDefault="000F0959" w:rsidP="000F0959">
      <w:pPr>
        <w:jc w:val="center"/>
        <w:rPr>
          <w:rFonts w:ascii="Calibri" w:hAnsi="Calibri" w:cs="Tahoma"/>
          <w:b/>
          <w:sz w:val="64"/>
          <w:szCs w:val="64"/>
        </w:rPr>
      </w:pPr>
    </w:p>
    <w:p w:rsidR="000F0959" w:rsidRDefault="000F0959" w:rsidP="000F0959">
      <w:pPr>
        <w:jc w:val="center"/>
        <w:rPr>
          <w:rFonts w:ascii="Calibri" w:hAnsi="Calibri" w:cs="Tahoma"/>
          <w:b/>
          <w:sz w:val="26"/>
          <w:szCs w:val="26"/>
        </w:rPr>
      </w:pPr>
    </w:p>
    <w:p w:rsidR="000F0959" w:rsidRDefault="000F0959" w:rsidP="000F0959">
      <w:pPr>
        <w:jc w:val="center"/>
        <w:rPr>
          <w:rFonts w:ascii="Calibri" w:hAnsi="Calibri" w:cs="Tahoma"/>
          <w:b/>
          <w:sz w:val="26"/>
          <w:szCs w:val="26"/>
        </w:rPr>
      </w:pPr>
    </w:p>
    <w:p w:rsidR="000F0959" w:rsidRDefault="000F0959" w:rsidP="000F0959">
      <w:pPr>
        <w:jc w:val="center"/>
        <w:rPr>
          <w:rFonts w:ascii="Calibri" w:hAnsi="Calibri" w:cs="Tahoma"/>
          <w:b/>
          <w:sz w:val="26"/>
          <w:szCs w:val="26"/>
        </w:rPr>
      </w:pPr>
    </w:p>
    <w:p w:rsidR="000F0959" w:rsidRPr="006C7C46" w:rsidRDefault="001F1857" w:rsidP="000F0959">
      <w:pPr>
        <w:jc w:val="center"/>
        <w:rPr>
          <w:rFonts w:cstheme="minorHAnsi"/>
          <w:b/>
          <w:sz w:val="24"/>
          <w:szCs w:val="24"/>
        </w:rPr>
      </w:pPr>
      <w:r>
        <w:rPr>
          <w:rFonts w:cstheme="minorHAnsi"/>
          <w:b/>
          <w:sz w:val="24"/>
          <w:szCs w:val="24"/>
        </w:rPr>
        <w:lastRenderedPageBreak/>
        <w:t>2019</w:t>
      </w:r>
      <w:r w:rsidR="000D0DA7">
        <w:rPr>
          <w:rFonts w:cstheme="minorHAnsi"/>
          <w:b/>
          <w:sz w:val="24"/>
          <w:szCs w:val="24"/>
        </w:rPr>
        <w:t xml:space="preserve"> </w:t>
      </w:r>
      <w:r w:rsidR="000F0959" w:rsidRPr="006C7C46">
        <w:rPr>
          <w:rFonts w:cstheme="minorHAnsi"/>
          <w:b/>
          <w:sz w:val="24"/>
          <w:szCs w:val="24"/>
        </w:rPr>
        <w:t>ISRI Circle of Safety Excellence Occupational Awards Program</w:t>
      </w:r>
    </w:p>
    <w:p w:rsidR="000F0959" w:rsidRPr="00C64D7B" w:rsidRDefault="000F0959" w:rsidP="000F0959">
      <w:pPr>
        <w:rPr>
          <w:rFonts w:cstheme="minorHAnsi"/>
          <w:b/>
          <w:sz w:val="20"/>
          <w:szCs w:val="20"/>
        </w:rPr>
      </w:pPr>
      <w:r w:rsidRPr="00C64D7B">
        <w:rPr>
          <w:rFonts w:cstheme="minorHAnsi"/>
          <w:b/>
          <w:sz w:val="20"/>
          <w:szCs w:val="20"/>
        </w:rPr>
        <w:t>Purpose:</w:t>
      </w:r>
    </w:p>
    <w:p w:rsidR="000F0959" w:rsidRPr="00C64D7B" w:rsidRDefault="000F0959" w:rsidP="000F0959">
      <w:pPr>
        <w:rPr>
          <w:rFonts w:cstheme="minorHAnsi"/>
          <w:sz w:val="20"/>
          <w:szCs w:val="20"/>
        </w:rPr>
      </w:pPr>
      <w:r w:rsidRPr="00C64D7B">
        <w:rPr>
          <w:rFonts w:cstheme="minorHAnsi"/>
          <w:sz w:val="20"/>
          <w:szCs w:val="20"/>
        </w:rPr>
        <w:t xml:space="preserve">To recognize and reward ISRI Circle of Safety Excellence (COSE) member companies for outstanding commitment to the safety of their employees by instilling core safety values and exhibiting continuous improvement in safety programs and worker incident reduction. </w:t>
      </w:r>
    </w:p>
    <w:p w:rsidR="000F0959" w:rsidRPr="00C64D7B" w:rsidRDefault="000F0959" w:rsidP="000F0959">
      <w:pPr>
        <w:rPr>
          <w:rFonts w:cstheme="minorHAnsi"/>
          <w:b/>
          <w:sz w:val="20"/>
          <w:szCs w:val="20"/>
        </w:rPr>
      </w:pPr>
      <w:r w:rsidRPr="00C64D7B">
        <w:rPr>
          <w:rFonts w:cstheme="minorHAnsi"/>
          <w:b/>
          <w:sz w:val="20"/>
          <w:szCs w:val="20"/>
        </w:rPr>
        <w:t>COSE Occupational Awards:</w:t>
      </w:r>
      <w:r w:rsidRPr="00C64D7B">
        <w:rPr>
          <w:rFonts w:cstheme="minorHAnsi"/>
          <w:b/>
          <w:sz w:val="20"/>
          <w:szCs w:val="20"/>
        </w:rPr>
        <w:tab/>
      </w:r>
    </w:p>
    <w:p w:rsidR="000F0959" w:rsidRPr="00C64D7B" w:rsidRDefault="000F0959" w:rsidP="000F0959">
      <w:pPr>
        <w:pStyle w:val="ListParagraph"/>
        <w:numPr>
          <w:ilvl w:val="0"/>
          <w:numId w:val="5"/>
        </w:numPr>
        <w:rPr>
          <w:rFonts w:cstheme="minorHAnsi"/>
          <w:sz w:val="20"/>
          <w:szCs w:val="20"/>
        </w:rPr>
      </w:pPr>
      <w:r w:rsidRPr="00C64D7B">
        <w:rPr>
          <w:rFonts w:cstheme="minorHAnsi"/>
          <w:b/>
          <w:sz w:val="20"/>
          <w:szCs w:val="20"/>
        </w:rPr>
        <w:t>Best-in-Class Award (Competitive Based):</w:t>
      </w:r>
    </w:p>
    <w:p w:rsidR="000F0959" w:rsidRPr="00C64D7B" w:rsidRDefault="000F0959" w:rsidP="000F0959">
      <w:pPr>
        <w:ind w:left="720"/>
        <w:rPr>
          <w:rFonts w:cstheme="minorHAnsi"/>
          <w:sz w:val="20"/>
          <w:szCs w:val="20"/>
        </w:rPr>
      </w:pPr>
      <w:r w:rsidRPr="00C64D7B">
        <w:rPr>
          <w:rFonts w:cstheme="minorHAnsi"/>
          <w:sz w:val="20"/>
          <w:szCs w:val="20"/>
        </w:rPr>
        <w:t>The award will be granted to the COSE Member Company or facility with the lowest OSHA Total Recordable Incident Rate (TRIR) for the period of January 1, 201</w:t>
      </w:r>
      <w:r>
        <w:rPr>
          <w:rFonts w:cstheme="minorHAnsi"/>
          <w:sz w:val="20"/>
          <w:szCs w:val="20"/>
        </w:rPr>
        <w:t>9</w:t>
      </w:r>
      <w:r w:rsidRPr="00C64D7B">
        <w:rPr>
          <w:rFonts w:cstheme="minorHAnsi"/>
          <w:sz w:val="20"/>
          <w:szCs w:val="20"/>
        </w:rPr>
        <w:t xml:space="preserve"> – December 31, 201</w:t>
      </w:r>
      <w:r>
        <w:rPr>
          <w:rFonts w:cstheme="minorHAnsi"/>
          <w:sz w:val="20"/>
          <w:szCs w:val="20"/>
        </w:rPr>
        <w:t>9</w:t>
      </w:r>
      <w:r w:rsidRPr="00C64D7B">
        <w:rPr>
          <w:rFonts w:cstheme="minorHAnsi"/>
          <w:sz w:val="20"/>
          <w:szCs w:val="20"/>
        </w:rPr>
        <w:t xml:space="preserve">. </w:t>
      </w:r>
      <w:r w:rsidRPr="00C64D7B">
        <w:rPr>
          <w:rFonts w:cstheme="minorHAnsi"/>
          <w:b/>
          <w:sz w:val="20"/>
          <w:szCs w:val="20"/>
        </w:rPr>
        <w:t xml:space="preserve">(OSHA 300 logs may be used to validate the member’s recordable incident experience). </w:t>
      </w:r>
      <w:r w:rsidRPr="00C64D7B">
        <w:rPr>
          <w:rFonts w:cstheme="minorHAnsi"/>
          <w:sz w:val="20"/>
          <w:szCs w:val="20"/>
        </w:rPr>
        <w:t>First, second and third place prizes will be awarded in each of four class categories, defined by annual hours worked.</w:t>
      </w:r>
    </w:p>
    <w:p w:rsidR="000F0959" w:rsidRPr="00C64D7B" w:rsidRDefault="000F0959" w:rsidP="000F0959">
      <w:pPr>
        <w:pStyle w:val="ListParagraph"/>
        <w:numPr>
          <w:ilvl w:val="0"/>
          <w:numId w:val="5"/>
        </w:numPr>
        <w:rPr>
          <w:rFonts w:cstheme="minorHAnsi"/>
          <w:b/>
          <w:sz w:val="20"/>
          <w:szCs w:val="20"/>
        </w:rPr>
      </w:pPr>
      <w:r w:rsidRPr="00C64D7B">
        <w:rPr>
          <w:rFonts w:cstheme="minorHAnsi"/>
          <w:b/>
          <w:sz w:val="20"/>
          <w:szCs w:val="20"/>
        </w:rPr>
        <w:t>Superior Achievement Award (Performance Based):</w:t>
      </w:r>
    </w:p>
    <w:p w:rsidR="000F0959" w:rsidRDefault="000F0959" w:rsidP="000F0959">
      <w:pPr>
        <w:spacing w:line="240" w:lineRule="atLeast"/>
        <w:ind w:left="720"/>
        <w:rPr>
          <w:rFonts w:cstheme="minorHAnsi"/>
          <w:sz w:val="20"/>
          <w:szCs w:val="20"/>
        </w:rPr>
      </w:pPr>
      <w:r w:rsidRPr="00C64D7B">
        <w:rPr>
          <w:rFonts w:cstheme="minorHAnsi"/>
          <w:sz w:val="20"/>
          <w:szCs w:val="20"/>
        </w:rPr>
        <w:t>The award will be granted to the COSE Member Company or facility that has achieved an OSHA Total Recordable Incident</w:t>
      </w:r>
      <w:r w:rsidR="00A97E36">
        <w:rPr>
          <w:rFonts w:cstheme="minorHAnsi"/>
          <w:sz w:val="20"/>
          <w:szCs w:val="20"/>
        </w:rPr>
        <w:t xml:space="preserve"> </w:t>
      </w:r>
      <w:r w:rsidRPr="00C64D7B">
        <w:rPr>
          <w:rFonts w:cstheme="minorHAnsi"/>
          <w:sz w:val="20"/>
          <w:szCs w:val="20"/>
        </w:rPr>
        <w:t>Rate (TRIR) of .75 or less for the period of January 1, 201</w:t>
      </w:r>
      <w:r>
        <w:rPr>
          <w:rFonts w:cstheme="minorHAnsi"/>
          <w:sz w:val="20"/>
          <w:szCs w:val="20"/>
        </w:rPr>
        <w:t>9</w:t>
      </w:r>
      <w:r w:rsidRPr="00C64D7B">
        <w:rPr>
          <w:rFonts w:cstheme="minorHAnsi"/>
          <w:sz w:val="20"/>
          <w:szCs w:val="20"/>
        </w:rPr>
        <w:t xml:space="preserve"> – December 31, 201</w:t>
      </w:r>
      <w:r>
        <w:rPr>
          <w:rFonts w:cstheme="minorHAnsi"/>
          <w:sz w:val="20"/>
          <w:szCs w:val="20"/>
        </w:rPr>
        <w:t>9</w:t>
      </w:r>
      <w:r w:rsidRPr="00C64D7B">
        <w:rPr>
          <w:rFonts w:cstheme="minorHAnsi"/>
          <w:sz w:val="20"/>
          <w:szCs w:val="20"/>
        </w:rPr>
        <w:t xml:space="preserve">. </w:t>
      </w:r>
      <w:r w:rsidRPr="00C64D7B">
        <w:rPr>
          <w:rFonts w:cstheme="minorHAnsi"/>
          <w:b/>
          <w:sz w:val="20"/>
          <w:szCs w:val="20"/>
        </w:rPr>
        <w:t xml:space="preserve">(OSHA 300 logs may be used to validate the member’s recordable incident experience).  </w:t>
      </w:r>
      <w:r w:rsidRPr="00C64D7B">
        <w:rPr>
          <w:rFonts w:cstheme="minorHAnsi"/>
          <w:sz w:val="20"/>
          <w:szCs w:val="20"/>
        </w:rPr>
        <w:t xml:space="preserve">Awards will be </w:t>
      </w:r>
      <w:r>
        <w:rPr>
          <w:rFonts w:cstheme="minorHAnsi"/>
          <w:sz w:val="20"/>
          <w:szCs w:val="20"/>
        </w:rPr>
        <w:t xml:space="preserve">provided </w:t>
      </w:r>
      <w:r w:rsidRPr="00C64D7B">
        <w:rPr>
          <w:rFonts w:cstheme="minorHAnsi"/>
          <w:sz w:val="20"/>
          <w:szCs w:val="20"/>
        </w:rPr>
        <w:t>in each of four class categories, defined by annual hours worked.</w:t>
      </w:r>
    </w:p>
    <w:p w:rsidR="000F0959" w:rsidRPr="00C64D7B" w:rsidRDefault="000F0959" w:rsidP="000F0959">
      <w:pPr>
        <w:pStyle w:val="ListParagraph"/>
        <w:numPr>
          <w:ilvl w:val="0"/>
          <w:numId w:val="5"/>
        </w:numPr>
        <w:spacing w:line="240" w:lineRule="atLeast"/>
        <w:rPr>
          <w:rFonts w:cstheme="minorHAnsi"/>
          <w:sz w:val="20"/>
          <w:szCs w:val="20"/>
        </w:rPr>
      </w:pPr>
      <w:r w:rsidRPr="00C64D7B">
        <w:rPr>
          <w:rFonts w:cstheme="minorHAnsi"/>
          <w:b/>
          <w:sz w:val="20"/>
          <w:szCs w:val="20"/>
        </w:rPr>
        <w:t xml:space="preserve">Rising Star Award (Performance Based): </w:t>
      </w:r>
    </w:p>
    <w:p w:rsidR="000F0959" w:rsidRPr="00C64D7B" w:rsidRDefault="000F0959" w:rsidP="000F0959">
      <w:pPr>
        <w:spacing w:line="240" w:lineRule="atLeast"/>
        <w:ind w:left="720"/>
        <w:rPr>
          <w:rFonts w:cstheme="minorHAnsi"/>
          <w:sz w:val="20"/>
          <w:szCs w:val="20"/>
        </w:rPr>
      </w:pPr>
      <w:r w:rsidRPr="00C64D7B">
        <w:rPr>
          <w:rFonts w:cstheme="minorHAnsi"/>
          <w:sz w:val="20"/>
          <w:szCs w:val="20"/>
        </w:rPr>
        <w:t xml:space="preserve">The award will be granted to the COSE Member </w:t>
      </w:r>
      <w:r w:rsidRPr="000F0959">
        <w:rPr>
          <w:rFonts w:cstheme="minorHAnsi"/>
          <w:b/>
          <w:sz w:val="20"/>
          <w:szCs w:val="20"/>
        </w:rPr>
        <w:t>(facility only)</w:t>
      </w:r>
      <w:r w:rsidRPr="002B0ED1">
        <w:rPr>
          <w:rFonts w:cstheme="minorHAnsi"/>
          <w:b/>
          <w:sz w:val="20"/>
          <w:szCs w:val="20"/>
        </w:rPr>
        <w:t xml:space="preserve"> </w:t>
      </w:r>
      <w:r w:rsidRPr="002B0ED1">
        <w:rPr>
          <w:rFonts w:cstheme="minorHAnsi"/>
          <w:sz w:val="20"/>
          <w:szCs w:val="20"/>
        </w:rPr>
        <w:t xml:space="preserve">that </w:t>
      </w:r>
      <w:r w:rsidRPr="00C64D7B">
        <w:rPr>
          <w:rFonts w:cstheme="minorHAnsi"/>
          <w:sz w:val="20"/>
          <w:szCs w:val="20"/>
        </w:rPr>
        <w:t>has achieved an OSHA Total Recordable Incident Rate (TRIR) of 2.</w:t>
      </w:r>
      <w:r>
        <w:rPr>
          <w:rFonts w:cstheme="minorHAnsi"/>
          <w:sz w:val="20"/>
          <w:szCs w:val="20"/>
        </w:rPr>
        <w:t>65</w:t>
      </w:r>
      <w:r w:rsidRPr="00C64D7B">
        <w:rPr>
          <w:rFonts w:cstheme="minorHAnsi"/>
          <w:sz w:val="20"/>
          <w:szCs w:val="20"/>
        </w:rPr>
        <w:t xml:space="preserve"> or less for the period of January 1, 201</w:t>
      </w:r>
      <w:r>
        <w:rPr>
          <w:rFonts w:cstheme="minorHAnsi"/>
          <w:sz w:val="20"/>
          <w:szCs w:val="20"/>
        </w:rPr>
        <w:t>9</w:t>
      </w:r>
      <w:r w:rsidRPr="00C64D7B">
        <w:rPr>
          <w:rFonts w:cstheme="minorHAnsi"/>
          <w:sz w:val="20"/>
          <w:szCs w:val="20"/>
        </w:rPr>
        <w:t xml:space="preserve"> – December 31, 201</w:t>
      </w:r>
      <w:r>
        <w:rPr>
          <w:rFonts w:cstheme="minorHAnsi"/>
          <w:sz w:val="20"/>
          <w:szCs w:val="20"/>
        </w:rPr>
        <w:t>9</w:t>
      </w:r>
      <w:r w:rsidRPr="00C64D7B">
        <w:rPr>
          <w:rFonts w:cstheme="minorHAnsi"/>
          <w:sz w:val="20"/>
          <w:szCs w:val="20"/>
        </w:rPr>
        <w:t>. The standard of 2.</w:t>
      </w:r>
      <w:r>
        <w:rPr>
          <w:rFonts w:cstheme="minorHAnsi"/>
          <w:sz w:val="20"/>
          <w:szCs w:val="20"/>
        </w:rPr>
        <w:t>65</w:t>
      </w:r>
      <w:r w:rsidRPr="00C64D7B">
        <w:rPr>
          <w:rFonts w:cstheme="minorHAnsi"/>
          <w:sz w:val="20"/>
          <w:szCs w:val="20"/>
        </w:rPr>
        <w:t xml:space="preserve"> was derived from a five year NAICS Code (4239) TRIR average</w:t>
      </w:r>
      <w:r>
        <w:rPr>
          <w:rFonts w:cstheme="minorHAnsi"/>
          <w:sz w:val="20"/>
          <w:szCs w:val="20"/>
        </w:rPr>
        <w:t>, minus 10%</w:t>
      </w:r>
      <w:r w:rsidRPr="00C64D7B">
        <w:rPr>
          <w:rFonts w:cstheme="minorHAnsi"/>
          <w:sz w:val="20"/>
          <w:szCs w:val="20"/>
        </w:rPr>
        <w:t xml:space="preserve">. </w:t>
      </w:r>
      <w:r w:rsidRPr="00C64D7B">
        <w:rPr>
          <w:rFonts w:cstheme="minorHAnsi"/>
          <w:b/>
          <w:sz w:val="20"/>
          <w:szCs w:val="20"/>
        </w:rPr>
        <w:t xml:space="preserve">(OSHA 300 logs may be used to validate the member’s recordable incident experience).  </w:t>
      </w:r>
      <w:r w:rsidRPr="00651587">
        <w:rPr>
          <w:rFonts w:cstheme="minorHAnsi"/>
          <w:b/>
          <w:sz w:val="20"/>
          <w:szCs w:val="20"/>
        </w:rPr>
        <w:t>Plaques</w:t>
      </w:r>
      <w:r w:rsidRPr="00C64D7B">
        <w:rPr>
          <w:rFonts w:cstheme="minorHAnsi"/>
          <w:sz w:val="20"/>
          <w:szCs w:val="20"/>
        </w:rPr>
        <w:t xml:space="preserve"> will be</w:t>
      </w:r>
      <w:r>
        <w:rPr>
          <w:rFonts w:cstheme="minorHAnsi"/>
          <w:sz w:val="20"/>
          <w:szCs w:val="20"/>
        </w:rPr>
        <w:t xml:space="preserve"> provided</w:t>
      </w:r>
      <w:r w:rsidRPr="00C64D7B">
        <w:rPr>
          <w:rFonts w:cstheme="minorHAnsi"/>
          <w:sz w:val="20"/>
          <w:szCs w:val="20"/>
        </w:rPr>
        <w:t xml:space="preserve"> in each of four class categories, defined by annual hours worked.</w:t>
      </w:r>
    </w:p>
    <w:p w:rsidR="000F0959" w:rsidRPr="00C64D7B" w:rsidRDefault="000F0959" w:rsidP="000F0959">
      <w:pPr>
        <w:spacing w:line="240" w:lineRule="atLeast"/>
        <w:rPr>
          <w:rFonts w:cstheme="minorHAnsi"/>
          <w:b/>
          <w:sz w:val="20"/>
          <w:szCs w:val="20"/>
        </w:rPr>
      </w:pPr>
      <w:r w:rsidRPr="00C64D7B">
        <w:rPr>
          <w:rFonts w:cstheme="minorHAnsi"/>
          <w:b/>
          <w:sz w:val="20"/>
          <w:szCs w:val="20"/>
        </w:rPr>
        <w:t>Class Categories/Hours Worked Annually:</w:t>
      </w:r>
    </w:p>
    <w:p w:rsidR="000F0959" w:rsidRPr="00651587" w:rsidRDefault="000F0959" w:rsidP="000F0959">
      <w:pPr>
        <w:pStyle w:val="ListParagraph"/>
        <w:numPr>
          <w:ilvl w:val="0"/>
          <w:numId w:val="3"/>
        </w:numPr>
        <w:rPr>
          <w:rFonts w:cstheme="minorHAnsi"/>
          <w:sz w:val="20"/>
          <w:szCs w:val="20"/>
        </w:rPr>
      </w:pPr>
      <w:r w:rsidRPr="00651587">
        <w:rPr>
          <w:rFonts w:cstheme="minorHAnsi"/>
          <w:sz w:val="20"/>
          <w:szCs w:val="20"/>
        </w:rPr>
        <w:t>Small Class: 22,000 to 100,000 hours (11 – 50 employees)</w:t>
      </w:r>
    </w:p>
    <w:p w:rsidR="000F0959" w:rsidRPr="00651587" w:rsidRDefault="000F0959" w:rsidP="000F0959">
      <w:pPr>
        <w:pStyle w:val="ListParagraph"/>
        <w:numPr>
          <w:ilvl w:val="0"/>
          <w:numId w:val="3"/>
        </w:numPr>
        <w:rPr>
          <w:rFonts w:cstheme="minorHAnsi"/>
          <w:sz w:val="20"/>
          <w:szCs w:val="20"/>
        </w:rPr>
      </w:pPr>
      <w:r w:rsidRPr="00651587">
        <w:rPr>
          <w:rFonts w:cstheme="minorHAnsi"/>
          <w:sz w:val="20"/>
          <w:szCs w:val="20"/>
        </w:rPr>
        <w:t xml:space="preserve">Intermediate Class: 102,000 to 200,000 hours (51 – 100 employees) </w:t>
      </w:r>
    </w:p>
    <w:p w:rsidR="000F0959" w:rsidRPr="00651587" w:rsidRDefault="000F0959" w:rsidP="000F0959">
      <w:pPr>
        <w:pStyle w:val="ListParagraph"/>
        <w:numPr>
          <w:ilvl w:val="0"/>
          <w:numId w:val="3"/>
        </w:numPr>
        <w:rPr>
          <w:rFonts w:cstheme="minorHAnsi"/>
          <w:sz w:val="20"/>
          <w:szCs w:val="20"/>
        </w:rPr>
      </w:pPr>
      <w:r w:rsidRPr="00651587">
        <w:rPr>
          <w:rFonts w:cstheme="minorHAnsi"/>
          <w:sz w:val="20"/>
          <w:szCs w:val="20"/>
        </w:rPr>
        <w:t>Medium Class: 202,000 to 500,000 hours (101 – 250 employees)</w:t>
      </w:r>
    </w:p>
    <w:p w:rsidR="000F0959" w:rsidRPr="00651587" w:rsidRDefault="000F0959" w:rsidP="000F0959">
      <w:pPr>
        <w:pStyle w:val="ListParagraph"/>
        <w:numPr>
          <w:ilvl w:val="0"/>
          <w:numId w:val="3"/>
        </w:numPr>
        <w:spacing w:line="240" w:lineRule="atLeast"/>
        <w:rPr>
          <w:rFonts w:cstheme="minorHAnsi"/>
          <w:sz w:val="20"/>
          <w:szCs w:val="20"/>
        </w:rPr>
      </w:pPr>
      <w:r w:rsidRPr="00651587">
        <w:rPr>
          <w:rFonts w:cstheme="minorHAnsi"/>
          <w:sz w:val="20"/>
          <w:szCs w:val="20"/>
        </w:rPr>
        <w:t>Large Class: Greater than 502,000 hours (251 employees or greater)</w:t>
      </w:r>
    </w:p>
    <w:p w:rsidR="000F0959" w:rsidRPr="00C64D7B" w:rsidRDefault="000F0959" w:rsidP="000F0959">
      <w:pPr>
        <w:pStyle w:val="ListParagraph"/>
        <w:spacing w:line="240" w:lineRule="atLeast"/>
        <w:rPr>
          <w:rFonts w:cstheme="minorHAnsi"/>
          <w:b/>
          <w:sz w:val="20"/>
          <w:szCs w:val="20"/>
        </w:rPr>
      </w:pPr>
    </w:p>
    <w:p w:rsidR="000F0959" w:rsidRPr="00C64D7B" w:rsidRDefault="000F0959" w:rsidP="000F0959">
      <w:pPr>
        <w:spacing w:line="240" w:lineRule="atLeast"/>
        <w:rPr>
          <w:rFonts w:cstheme="minorHAnsi"/>
          <w:b/>
          <w:sz w:val="20"/>
          <w:szCs w:val="20"/>
        </w:rPr>
      </w:pPr>
      <w:r w:rsidRPr="00C64D7B">
        <w:rPr>
          <w:rFonts w:cstheme="minorHAnsi"/>
          <w:b/>
          <w:sz w:val="20"/>
          <w:szCs w:val="20"/>
        </w:rPr>
        <w:t xml:space="preserve">In the event of a tie, the following criteria will be reviewed: </w:t>
      </w:r>
    </w:p>
    <w:p w:rsidR="000F0959" w:rsidRPr="00C64D7B" w:rsidRDefault="000F0959" w:rsidP="000F0959">
      <w:pPr>
        <w:pStyle w:val="ListParagraph"/>
        <w:numPr>
          <w:ilvl w:val="0"/>
          <w:numId w:val="2"/>
        </w:numPr>
        <w:spacing w:line="240" w:lineRule="atLeast"/>
        <w:ind w:left="720"/>
        <w:rPr>
          <w:rFonts w:cstheme="minorHAnsi"/>
          <w:sz w:val="20"/>
          <w:szCs w:val="20"/>
        </w:rPr>
      </w:pPr>
      <w:r w:rsidRPr="00C64D7B">
        <w:rPr>
          <w:rFonts w:cstheme="minorHAnsi"/>
          <w:sz w:val="20"/>
          <w:szCs w:val="20"/>
        </w:rPr>
        <w:t xml:space="preserve">Number of annual hours worked for exempt and non-exempt employees. </w:t>
      </w:r>
    </w:p>
    <w:p w:rsidR="000F0959" w:rsidRPr="00C64D7B" w:rsidRDefault="000F0959" w:rsidP="000F0959">
      <w:pPr>
        <w:pStyle w:val="ListParagraph"/>
        <w:numPr>
          <w:ilvl w:val="0"/>
          <w:numId w:val="2"/>
        </w:numPr>
        <w:spacing w:line="240" w:lineRule="atLeast"/>
        <w:ind w:left="720"/>
        <w:rPr>
          <w:rFonts w:cstheme="minorHAnsi"/>
          <w:sz w:val="20"/>
          <w:szCs w:val="20"/>
        </w:rPr>
      </w:pPr>
      <w:r w:rsidRPr="00C64D7B">
        <w:rPr>
          <w:rFonts w:cstheme="minorHAnsi"/>
          <w:sz w:val="20"/>
          <w:szCs w:val="20"/>
        </w:rPr>
        <w:t>Proof of OSHA 300 logs.</w:t>
      </w:r>
    </w:p>
    <w:p w:rsidR="000F0959" w:rsidRPr="00C64D7B" w:rsidRDefault="000F0959" w:rsidP="000F0959">
      <w:pPr>
        <w:pStyle w:val="ListParagraph"/>
        <w:numPr>
          <w:ilvl w:val="0"/>
          <w:numId w:val="2"/>
        </w:numPr>
        <w:spacing w:line="240" w:lineRule="atLeast"/>
        <w:ind w:left="720"/>
        <w:rPr>
          <w:rFonts w:cstheme="minorHAnsi"/>
          <w:sz w:val="20"/>
          <w:szCs w:val="20"/>
        </w:rPr>
      </w:pPr>
      <w:r w:rsidRPr="00C64D7B">
        <w:rPr>
          <w:rFonts w:cstheme="minorHAnsi"/>
          <w:sz w:val="20"/>
          <w:szCs w:val="20"/>
        </w:rPr>
        <w:t>Experience Modification Rate (EMR).</w:t>
      </w:r>
    </w:p>
    <w:p w:rsidR="000F0959" w:rsidRPr="00C64D7B" w:rsidRDefault="000F0959" w:rsidP="000F0959">
      <w:pPr>
        <w:pStyle w:val="ListParagraph"/>
        <w:spacing w:line="240" w:lineRule="atLeast"/>
        <w:ind w:left="0"/>
        <w:rPr>
          <w:rFonts w:cstheme="minorHAnsi"/>
          <w:b/>
          <w:sz w:val="20"/>
          <w:szCs w:val="20"/>
        </w:rPr>
      </w:pPr>
    </w:p>
    <w:p w:rsidR="000F0959" w:rsidRPr="00C64D7B" w:rsidRDefault="000F0959" w:rsidP="000F0959">
      <w:pPr>
        <w:pStyle w:val="ListParagraph"/>
        <w:spacing w:line="240" w:lineRule="auto"/>
        <w:ind w:left="0"/>
        <w:rPr>
          <w:rFonts w:cstheme="minorHAnsi"/>
          <w:b/>
          <w:sz w:val="20"/>
          <w:szCs w:val="20"/>
        </w:rPr>
      </w:pPr>
      <w:r w:rsidRPr="00C64D7B">
        <w:rPr>
          <w:rFonts w:cstheme="minorHAnsi"/>
          <w:b/>
          <w:sz w:val="20"/>
          <w:szCs w:val="20"/>
        </w:rPr>
        <w:t xml:space="preserve">Mandatory Criteria: </w:t>
      </w:r>
    </w:p>
    <w:p w:rsidR="000F0959" w:rsidRPr="00C64D7B" w:rsidRDefault="000F0959" w:rsidP="000F0959">
      <w:pPr>
        <w:pStyle w:val="ListParagraph"/>
        <w:spacing w:line="240" w:lineRule="auto"/>
        <w:ind w:left="0"/>
        <w:rPr>
          <w:rFonts w:cstheme="minorHAnsi"/>
          <w:b/>
          <w:sz w:val="20"/>
          <w:szCs w:val="20"/>
        </w:rPr>
      </w:pPr>
    </w:p>
    <w:p w:rsidR="000F0959" w:rsidRPr="00C64D7B" w:rsidRDefault="000F0959" w:rsidP="000F0959">
      <w:pPr>
        <w:pStyle w:val="ListParagraph"/>
        <w:numPr>
          <w:ilvl w:val="0"/>
          <w:numId w:val="4"/>
        </w:numPr>
        <w:spacing w:line="240" w:lineRule="auto"/>
        <w:rPr>
          <w:rFonts w:cstheme="minorHAnsi"/>
          <w:sz w:val="20"/>
          <w:szCs w:val="20"/>
        </w:rPr>
      </w:pPr>
      <w:r w:rsidRPr="00C64D7B">
        <w:rPr>
          <w:rFonts w:cstheme="minorHAnsi"/>
          <w:sz w:val="20"/>
          <w:szCs w:val="20"/>
        </w:rPr>
        <w:t>No record of worker fatalities for the previous year (201</w:t>
      </w:r>
      <w:r>
        <w:rPr>
          <w:rFonts w:cstheme="minorHAnsi"/>
          <w:sz w:val="20"/>
          <w:szCs w:val="20"/>
        </w:rPr>
        <w:t>9</w:t>
      </w:r>
      <w:r w:rsidRPr="00C64D7B">
        <w:rPr>
          <w:rFonts w:cstheme="minorHAnsi"/>
          <w:sz w:val="20"/>
          <w:szCs w:val="20"/>
        </w:rPr>
        <w:t xml:space="preserve">). This may be a disqualifier based on the incident. </w:t>
      </w:r>
    </w:p>
    <w:p w:rsidR="000F0959" w:rsidRPr="00C64D7B" w:rsidRDefault="000F0959" w:rsidP="000F0959">
      <w:pPr>
        <w:pStyle w:val="ListParagraph"/>
        <w:numPr>
          <w:ilvl w:val="0"/>
          <w:numId w:val="4"/>
        </w:numPr>
        <w:spacing w:line="240" w:lineRule="auto"/>
        <w:rPr>
          <w:rFonts w:cstheme="minorHAnsi"/>
          <w:sz w:val="20"/>
          <w:szCs w:val="20"/>
        </w:rPr>
      </w:pPr>
      <w:r w:rsidRPr="00C64D7B">
        <w:rPr>
          <w:rFonts w:cstheme="minorHAnsi"/>
          <w:sz w:val="20"/>
          <w:szCs w:val="20"/>
        </w:rPr>
        <w:t>No record of hospitalization, amputation, or loss of eyesight for the previous year (201</w:t>
      </w:r>
      <w:r>
        <w:rPr>
          <w:rFonts w:cstheme="minorHAnsi"/>
          <w:sz w:val="20"/>
          <w:szCs w:val="20"/>
        </w:rPr>
        <w:t>9</w:t>
      </w:r>
      <w:r w:rsidRPr="00C64D7B">
        <w:rPr>
          <w:rFonts w:cstheme="minorHAnsi"/>
          <w:sz w:val="20"/>
          <w:szCs w:val="20"/>
        </w:rPr>
        <w:t xml:space="preserve">). This may be a disqualifier based on the incident. </w:t>
      </w:r>
    </w:p>
    <w:p w:rsidR="000F0959" w:rsidRPr="00C64D7B" w:rsidRDefault="000F0959" w:rsidP="000F0959">
      <w:pPr>
        <w:pStyle w:val="ListParagraph"/>
        <w:numPr>
          <w:ilvl w:val="0"/>
          <w:numId w:val="4"/>
        </w:numPr>
        <w:spacing w:line="240" w:lineRule="atLeast"/>
        <w:rPr>
          <w:rFonts w:cstheme="minorHAnsi"/>
          <w:sz w:val="20"/>
          <w:szCs w:val="20"/>
        </w:rPr>
      </w:pPr>
      <w:r w:rsidRPr="00C64D7B">
        <w:rPr>
          <w:rFonts w:cstheme="minorHAnsi"/>
          <w:sz w:val="20"/>
          <w:szCs w:val="20"/>
        </w:rPr>
        <w:lastRenderedPageBreak/>
        <w:t xml:space="preserve">Completion of the award supplemental survey. </w:t>
      </w:r>
    </w:p>
    <w:p w:rsidR="000F0959" w:rsidRPr="00C64D7B" w:rsidRDefault="000F0959" w:rsidP="000F0959">
      <w:pPr>
        <w:pStyle w:val="ListParagraph"/>
        <w:numPr>
          <w:ilvl w:val="0"/>
          <w:numId w:val="4"/>
        </w:numPr>
        <w:spacing w:line="240" w:lineRule="atLeast"/>
        <w:rPr>
          <w:rFonts w:cstheme="minorHAnsi"/>
          <w:sz w:val="20"/>
          <w:szCs w:val="20"/>
        </w:rPr>
      </w:pPr>
      <w:r w:rsidRPr="00C64D7B">
        <w:rPr>
          <w:rFonts w:cstheme="minorHAnsi"/>
          <w:sz w:val="20"/>
          <w:szCs w:val="20"/>
        </w:rPr>
        <w:t>Member is in good status.</w:t>
      </w:r>
    </w:p>
    <w:p w:rsidR="000F0959" w:rsidRPr="00C64D7B" w:rsidRDefault="000F0959" w:rsidP="000F0959">
      <w:pPr>
        <w:pStyle w:val="ListParagraph"/>
        <w:numPr>
          <w:ilvl w:val="0"/>
          <w:numId w:val="4"/>
        </w:numPr>
        <w:spacing w:line="240" w:lineRule="atLeast"/>
        <w:rPr>
          <w:rFonts w:cstheme="minorHAnsi"/>
          <w:sz w:val="20"/>
          <w:szCs w:val="20"/>
        </w:rPr>
      </w:pPr>
      <w:r w:rsidRPr="00C64D7B">
        <w:rPr>
          <w:rFonts w:cstheme="minorHAnsi"/>
          <w:sz w:val="20"/>
          <w:szCs w:val="20"/>
        </w:rPr>
        <w:t>Member provides annual safety data.</w:t>
      </w:r>
    </w:p>
    <w:p w:rsidR="000F0959" w:rsidRPr="00C64D7B" w:rsidRDefault="000F0959" w:rsidP="000F0959">
      <w:pPr>
        <w:pStyle w:val="ListParagraph"/>
        <w:numPr>
          <w:ilvl w:val="0"/>
          <w:numId w:val="4"/>
        </w:numPr>
        <w:spacing w:line="240" w:lineRule="atLeast"/>
        <w:rPr>
          <w:rFonts w:cstheme="minorHAnsi"/>
          <w:sz w:val="20"/>
          <w:szCs w:val="20"/>
        </w:rPr>
      </w:pPr>
      <w:r w:rsidRPr="00C64D7B">
        <w:rPr>
          <w:rFonts w:cstheme="minorHAnsi"/>
          <w:sz w:val="20"/>
          <w:szCs w:val="20"/>
        </w:rPr>
        <w:t xml:space="preserve">Member is committed to safety initiatives. </w:t>
      </w:r>
    </w:p>
    <w:p w:rsidR="000F0959" w:rsidRPr="00C64D7B" w:rsidRDefault="000F0959" w:rsidP="000F0959">
      <w:pPr>
        <w:pStyle w:val="ListParagraph"/>
        <w:numPr>
          <w:ilvl w:val="0"/>
          <w:numId w:val="4"/>
        </w:numPr>
        <w:spacing w:line="240" w:lineRule="atLeast"/>
        <w:rPr>
          <w:rFonts w:cstheme="minorHAnsi"/>
          <w:sz w:val="20"/>
          <w:szCs w:val="20"/>
        </w:rPr>
      </w:pPr>
      <w:r w:rsidRPr="00C64D7B">
        <w:rPr>
          <w:rFonts w:cstheme="minorHAnsi"/>
          <w:sz w:val="20"/>
          <w:szCs w:val="20"/>
        </w:rPr>
        <w:t>Member provides safety outreach to others in the industry to promote safe practices (provide examples).</w:t>
      </w:r>
    </w:p>
    <w:p w:rsidR="000F0959" w:rsidRPr="00C64D7B" w:rsidRDefault="000F0959" w:rsidP="000F0959">
      <w:pPr>
        <w:pStyle w:val="ListParagraph"/>
        <w:spacing w:line="240" w:lineRule="atLeast"/>
        <w:ind w:left="0"/>
        <w:rPr>
          <w:rFonts w:cstheme="minorHAnsi"/>
          <w:b/>
          <w:sz w:val="20"/>
          <w:szCs w:val="20"/>
        </w:rPr>
      </w:pPr>
    </w:p>
    <w:p w:rsidR="000F0959" w:rsidRPr="00C64D7B" w:rsidRDefault="000F0959" w:rsidP="000F0959">
      <w:pPr>
        <w:pStyle w:val="ListParagraph"/>
        <w:spacing w:line="240" w:lineRule="atLeast"/>
        <w:ind w:left="0"/>
        <w:rPr>
          <w:rFonts w:cstheme="minorHAnsi"/>
          <w:b/>
          <w:sz w:val="20"/>
          <w:szCs w:val="20"/>
        </w:rPr>
      </w:pPr>
      <w:r w:rsidRPr="00C64D7B">
        <w:rPr>
          <w:rFonts w:cstheme="minorHAnsi"/>
          <w:b/>
          <w:sz w:val="20"/>
          <w:szCs w:val="20"/>
        </w:rPr>
        <w:t xml:space="preserve">Other Inquires: </w:t>
      </w:r>
    </w:p>
    <w:p w:rsidR="000F0959" w:rsidRPr="00C64D7B" w:rsidRDefault="000F0959" w:rsidP="000F0959">
      <w:pPr>
        <w:pStyle w:val="ListParagraph"/>
        <w:spacing w:line="240" w:lineRule="atLeast"/>
        <w:ind w:left="0"/>
        <w:rPr>
          <w:rFonts w:cstheme="minorHAnsi"/>
          <w:sz w:val="20"/>
          <w:szCs w:val="20"/>
        </w:rPr>
      </w:pP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Estimated number of EHS staff hours per week for the employees covered on this application.</w:t>
      </w: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 xml:space="preserve">Estimated number of employees without full time on site EHS personnel at the establishment. </w:t>
      </w: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Estimated number of English as a Second Language (ESL) employees covered on this application.</w:t>
      </w: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Does your company use temporary labor?</w:t>
      </w:r>
    </w:p>
    <w:p w:rsidR="000F0959" w:rsidRPr="00C64D7B" w:rsidRDefault="000F0959" w:rsidP="000F0959">
      <w:pPr>
        <w:pStyle w:val="ListParagraph"/>
        <w:numPr>
          <w:ilvl w:val="0"/>
          <w:numId w:val="6"/>
        </w:numPr>
        <w:spacing w:line="240" w:lineRule="auto"/>
        <w:rPr>
          <w:rFonts w:cstheme="minorHAnsi"/>
          <w:b/>
          <w:sz w:val="20"/>
          <w:szCs w:val="20"/>
          <w:u w:val="single"/>
        </w:rPr>
      </w:pPr>
      <w:r w:rsidRPr="00C64D7B">
        <w:rPr>
          <w:rFonts w:cstheme="minorHAnsi"/>
          <w:sz w:val="20"/>
          <w:szCs w:val="20"/>
        </w:rPr>
        <w:t>Total number of DART cases.</w:t>
      </w:r>
    </w:p>
    <w:p w:rsidR="000F0959" w:rsidRPr="00C64D7B" w:rsidRDefault="000F0959" w:rsidP="000F0959">
      <w:pPr>
        <w:pStyle w:val="ListParagraph"/>
        <w:numPr>
          <w:ilvl w:val="0"/>
          <w:numId w:val="6"/>
        </w:numPr>
        <w:spacing w:line="240" w:lineRule="auto"/>
        <w:rPr>
          <w:rFonts w:cstheme="minorHAnsi"/>
          <w:b/>
          <w:sz w:val="20"/>
          <w:szCs w:val="20"/>
          <w:u w:val="single"/>
        </w:rPr>
      </w:pPr>
      <w:r w:rsidRPr="00C64D7B">
        <w:rPr>
          <w:rFonts w:cstheme="minorHAnsi"/>
          <w:sz w:val="20"/>
          <w:szCs w:val="20"/>
        </w:rPr>
        <w:t xml:space="preserve">Total number of days away that resulted in a DART incident. </w:t>
      </w: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Estimated number of temporary workers under the direct supervision of company employees.</w:t>
      </w: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 xml:space="preserve">Does your company have a safety management program for temporary workers? </w:t>
      </w: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Does your company evaluate temporary worker performance as a basis for internal safety performance stewardship?</w:t>
      </w: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Did your company experience any employee workplace-related fatalities at any of its terminals or operations in 201</w:t>
      </w:r>
      <w:r>
        <w:rPr>
          <w:rFonts w:cstheme="minorHAnsi"/>
          <w:sz w:val="20"/>
          <w:szCs w:val="20"/>
        </w:rPr>
        <w:t>9</w:t>
      </w:r>
      <w:r w:rsidRPr="00C64D7B">
        <w:rPr>
          <w:rFonts w:cstheme="minorHAnsi"/>
          <w:sz w:val="20"/>
          <w:szCs w:val="20"/>
        </w:rPr>
        <w:t>? Please include number of fatalities.</w:t>
      </w: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Did your company experience any employee workplace-related inpatient hospitalizations of one or more employees, amputations, losses of an eyesight at any of its facilities or establishments in 201</w:t>
      </w:r>
      <w:r>
        <w:rPr>
          <w:rFonts w:cstheme="minorHAnsi"/>
          <w:sz w:val="20"/>
          <w:szCs w:val="20"/>
        </w:rPr>
        <w:t>9</w:t>
      </w:r>
      <w:r w:rsidRPr="00C64D7B">
        <w:rPr>
          <w:rFonts w:cstheme="minorHAnsi"/>
          <w:sz w:val="20"/>
          <w:szCs w:val="20"/>
        </w:rPr>
        <w:t>? Please include the number.</w:t>
      </w:r>
    </w:p>
    <w:p w:rsidR="000F0959" w:rsidRPr="00C64D7B" w:rsidRDefault="000F0959" w:rsidP="000F0959">
      <w:pPr>
        <w:pStyle w:val="ListParagraph"/>
        <w:numPr>
          <w:ilvl w:val="0"/>
          <w:numId w:val="6"/>
        </w:numPr>
        <w:spacing w:line="240" w:lineRule="atLeast"/>
        <w:rPr>
          <w:rFonts w:cstheme="minorHAnsi"/>
          <w:sz w:val="20"/>
          <w:szCs w:val="20"/>
        </w:rPr>
      </w:pPr>
      <w:r w:rsidRPr="00C64D7B">
        <w:rPr>
          <w:rFonts w:cstheme="minorHAnsi"/>
          <w:sz w:val="20"/>
          <w:szCs w:val="20"/>
        </w:rPr>
        <w:t>Did your company experience any temporary worker workplace-related fatalities at any of its terminals or operations in 201</w:t>
      </w:r>
      <w:r>
        <w:rPr>
          <w:rFonts w:cstheme="minorHAnsi"/>
          <w:sz w:val="20"/>
          <w:szCs w:val="20"/>
        </w:rPr>
        <w:t>9</w:t>
      </w:r>
      <w:r w:rsidRPr="00C64D7B">
        <w:rPr>
          <w:rFonts w:cstheme="minorHAnsi"/>
          <w:sz w:val="20"/>
          <w:szCs w:val="20"/>
        </w:rPr>
        <w:t>? Please include number of fatalities.</w:t>
      </w:r>
    </w:p>
    <w:p w:rsidR="000F0959" w:rsidRPr="00C64D7B" w:rsidRDefault="000F0959" w:rsidP="000F0959">
      <w:pPr>
        <w:pStyle w:val="ListParagraph"/>
        <w:numPr>
          <w:ilvl w:val="0"/>
          <w:numId w:val="6"/>
        </w:numPr>
        <w:spacing w:line="240" w:lineRule="auto"/>
        <w:rPr>
          <w:rFonts w:cstheme="minorHAnsi"/>
          <w:b/>
          <w:sz w:val="20"/>
          <w:szCs w:val="20"/>
          <w:u w:val="single"/>
        </w:rPr>
      </w:pPr>
      <w:r w:rsidRPr="00C64D7B">
        <w:rPr>
          <w:rFonts w:cstheme="minorHAnsi"/>
          <w:sz w:val="20"/>
          <w:szCs w:val="20"/>
        </w:rPr>
        <w:t>Did your company experience any third-party workplace-related fatalities at any of its terminals or operations in 201</w:t>
      </w:r>
      <w:r>
        <w:rPr>
          <w:rFonts w:cstheme="minorHAnsi"/>
          <w:sz w:val="20"/>
          <w:szCs w:val="20"/>
        </w:rPr>
        <w:t>9</w:t>
      </w:r>
      <w:r w:rsidRPr="00C64D7B">
        <w:rPr>
          <w:rFonts w:cstheme="minorHAnsi"/>
          <w:sz w:val="20"/>
          <w:szCs w:val="20"/>
        </w:rPr>
        <w:t xml:space="preserve">? Please include number of fatalities.  </w:t>
      </w:r>
    </w:p>
    <w:p w:rsidR="000F0959" w:rsidRPr="00C64D7B" w:rsidRDefault="000F0959" w:rsidP="000F0959">
      <w:pPr>
        <w:spacing w:line="240" w:lineRule="auto"/>
        <w:ind w:left="360"/>
        <w:rPr>
          <w:rFonts w:cstheme="minorHAnsi"/>
          <w:b/>
          <w:sz w:val="20"/>
          <w:szCs w:val="20"/>
        </w:rPr>
      </w:pPr>
      <w:r w:rsidRPr="00C64D7B">
        <w:rPr>
          <w:rFonts w:cstheme="minorHAnsi"/>
          <w:b/>
          <w:sz w:val="20"/>
          <w:szCs w:val="20"/>
        </w:rPr>
        <w:t>Metrics:</w:t>
      </w:r>
    </w:p>
    <w:p w:rsidR="000F0959" w:rsidRPr="00C64D7B" w:rsidRDefault="000F0959" w:rsidP="000F0959">
      <w:pPr>
        <w:spacing w:line="240" w:lineRule="auto"/>
        <w:ind w:left="360"/>
        <w:rPr>
          <w:rFonts w:cstheme="minorHAnsi"/>
          <w:b/>
          <w:sz w:val="20"/>
          <w:szCs w:val="20"/>
          <w:u w:val="single"/>
        </w:rPr>
      </w:pPr>
      <w:r w:rsidRPr="00C64D7B">
        <w:rPr>
          <w:rFonts w:cstheme="minorHAnsi"/>
          <w:b/>
          <w:sz w:val="20"/>
          <w:szCs w:val="20"/>
        </w:rPr>
        <w:t>OSHA Total Recordable Incident Rate (TRIR) will be rounded to the nearest hundredth (two decimal places) as determined by the following formula:</w:t>
      </w:r>
    </w:p>
    <w:p w:rsidR="000F0959" w:rsidRPr="00C64D7B" w:rsidRDefault="000F0959" w:rsidP="000F0959">
      <w:pPr>
        <w:spacing w:after="0" w:line="200" w:lineRule="exact"/>
        <w:ind w:left="360"/>
        <w:jc w:val="center"/>
        <w:rPr>
          <w:rFonts w:cstheme="minorHAnsi"/>
          <w:sz w:val="20"/>
          <w:szCs w:val="20"/>
          <w:u w:val="single"/>
        </w:rPr>
      </w:pPr>
      <w:r w:rsidRPr="00C64D7B">
        <w:rPr>
          <w:rFonts w:cstheme="minorHAnsi"/>
          <w:sz w:val="20"/>
          <w:szCs w:val="20"/>
        </w:rPr>
        <w:t xml:space="preserve">TRIR Incident Frequency = </w:t>
      </w:r>
      <w:r w:rsidRPr="00C64D7B">
        <w:rPr>
          <w:rFonts w:cstheme="minorHAnsi"/>
          <w:sz w:val="20"/>
          <w:szCs w:val="20"/>
          <w:u w:val="single"/>
        </w:rPr>
        <w:t>Total TIRIR incidents (injuries/illnesses) X 200,000</w:t>
      </w:r>
    </w:p>
    <w:p w:rsidR="000F0959" w:rsidRPr="00C64D7B" w:rsidRDefault="000F0959" w:rsidP="000F0959">
      <w:pPr>
        <w:spacing w:after="0" w:line="200" w:lineRule="exact"/>
        <w:ind w:left="1800" w:firstLine="360"/>
        <w:jc w:val="center"/>
        <w:rPr>
          <w:rFonts w:cstheme="minorHAnsi"/>
          <w:sz w:val="20"/>
          <w:szCs w:val="20"/>
        </w:rPr>
      </w:pPr>
      <w:r w:rsidRPr="00C64D7B">
        <w:rPr>
          <w:rFonts w:cstheme="minorHAnsi"/>
          <w:sz w:val="20"/>
          <w:szCs w:val="20"/>
        </w:rPr>
        <w:t xml:space="preserve">       Total number of hours worked</w:t>
      </w:r>
    </w:p>
    <w:p w:rsidR="000F0959" w:rsidRPr="00C64D7B" w:rsidRDefault="000F0959" w:rsidP="000F0959">
      <w:pPr>
        <w:spacing w:after="0" w:line="200" w:lineRule="exact"/>
        <w:ind w:left="1440" w:firstLine="720"/>
        <w:jc w:val="center"/>
        <w:rPr>
          <w:rFonts w:cstheme="minorHAnsi"/>
          <w:b/>
          <w:sz w:val="20"/>
          <w:szCs w:val="20"/>
        </w:rPr>
      </w:pPr>
      <w:r w:rsidRPr="00C64D7B">
        <w:rPr>
          <w:rFonts w:cstheme="minorHAnsi"/>
          <w:b/>
          <w:sz w:val="20"/>
          <w:szCs w:val="20"/>
        </w:rPr>
        <w:t xml:space="preserve"> (Include exempt and non-exempt employee hours in this calculation)</w:t>
      </w:r>
    </w:p>
    <w:p w:rsidR="000F0959" w:rsidRPr="00C64D7B" w:rsidRDefault="000F0959" w:rsidP="000F0959">
      <w:pPr>
        <w:spacing w:after="0" w:line="200" w:lineRule="exact"/>
        <w:ind w:left="1440"/>
        <w:jc w:val="center"/>
        <w:rPr>
          <w:rFonts w:cstheme="minorHAnsi"/>
          <w:b/>
          <w:sz w:val="20"/>
          <w:szCs w:val="20"/>
        </w:rPr>
      </w:pPr>
    </w:p>
    <w:p w:rsidR="000F0959" w:rsidRPr="00C64D7B" w:rsidRDefault="000F0959" w:rsidP="000F0959">
      <w:pPr>
        <w:spacing w:line="240" w:lineRule="atLeast"/>
        <w:jc w:val="both"/>
        <w:rPr>
          <w:rFonts w:cstheme="minorHAnsi"/>
          <w:b/>
          <w:sz w:val="20"/>
          <w:szCs w:val="20"/>
        </w:rPr>
      </w:pPr>
      <w:r w:rsidRPr="00C64D7B">
        <w:rPr>
          <w:rFonts w:cstheme="minorHAnsi"/>
          <w:b/>
          <w:sz w:val="20"/>
          <w:szCs w:val="20"/>
        </w:rPr>
        <w:t>Definitions:</w:t>
      </w:r>
    </w:p>
    <w:p w:rsidR="000F0959" w:rsidRPr="00C64D7B" w:rsidRDefault="000F0959" w:rsidP="000F0959">
      <w:pPr>
        <w:pStyle w:val="ListParagraph"/>
        <w:numPr>
          <w:ilvl w:val="0"/>
          <w:numId w:val="1"/>
        </w:numPr>
        <w:spacing w:line="240" w:lineRule="atLeast"/>
        <w:rPr>
          <w:rFonts w:cstheme="minorHAnsi"/>
          <w:sz w:val="20"/>
          <w:szCs w:val="20"/>
        </w:rPr>
      </w:pPr>
      <w:r w:rsidRPr="00C64D7B">
        <w:rPr>
          <w:rFonts w:cstheme="minorHAnsi"/>
          <w:b/>
          <w:sz w:val="20"/>
          <w:szCs w:val="20"/>
        </w:rPr>
        <w:t>Bureau of Labor Statistics (BLS)</w:t>
      </w:r>
      <w:r w:rsidRPr="00C64D7B">
        <w:rPr>
          <w:rFonts w:cstheme="minorHAnsi"/>
          <w:sz w:val="20"/>
          <w:szCs w:val="20"/>
        </w:rPr>
        <w:t xml:space="preserve"> – </w:t>
      </w:r>
      <w:r w:rsidRPr="00C64D7B">
        <w:rPr>
          <w:rFonts w:cstheme="minorHAnsi"/>
          <w:sz w:val="20"/>
          <w:szCs w:val="20"/>
          <w:shd w:val="clear" w:color="auto" w:fill="FFFFFF"/>
        </w:rPr>
        <w:t>is a unit of the U.S. </w:t>
      </w:r>
      <w:r w:rsidRPr="00C64D7B">
        <w:rPr>
          <w:rFonts w:cstheme="minorHAnsi"/>
          <w:bCs/>
          <w:sz w:val="20"/>
          <w:szCs w:val="20"/>
          <w:shd w:val="clear" w:color="auto" w:fill="FFFFFF"/>
        </w:rPr>
        <w:t>Department of Labor</w:t>
      </w:r>
      <w:r w:rsidRPr="00C64D7B">
        <w:rPr>
          <w:rFonts w:cstheme="minorHAnsi"/>
          <w:sz w:val="20"/>
          <w:szCs w:val="20"/>
          <w:shd w:val="clear" w:color="auto" w:fill="FFFFFF"/>
        </w:rPr>
        <w:t>. It is the principal fact-finding agency for the U.S. government in the broad field of </w:t>
      </w:r>
      <w:r w:rsidRPr="00C64D7B">
        <w:rPr>
          <w:rFonts w:cstheme="minorHAnsi"/>
          <w:bCs/>
          <w:sz w:val="20"/>
          <w:szCs w:val="20"/>
          <w:shd w:val="clear" w:color="auto" w:fill="FFFFFF"/>
        </w:rPr>
        <w:t>labor</w:t>
      </w:r>
      <w:r w:rsidRPr="00C64D7B">
        <w:rPr>
          <w:rFonts w:cstheme="minorHAnsi"/>
          <w:sz w:val="20"/>
          <w:szCs w:val="20"/>
          <w:shd w:val="clear" w:color="auto" w:fill="FFFFFF"/>
        </w:rPr>
        <w:t> economics and </w:t>
      </w:r>
      <w:r w:rsidRPr="00C64D7B">
        <w:rPr>
          <w:rFonts w:cstheme="minorHAnsi"/>
          <w:bCs/>
          <w:sz w:val="20"/>
          <w:szCs w:val="20"/>
          <w:shd w:val="clear" w:color="auto" w:fill="FFFFFF"/>
        </w:rPr>
        <w:t>statistics</w:t>
      </w:r>
      <w:r w:rsidRPr="00C64D7B">
        <w:rPr>
          <w:rFonts w:cstheme="minorHAnsi"/>
          <w:sz w:val="20"/>
          <w:szCs w:val="20"/>
          <w:shd w:val="clear" w:color="auto" w:fill="FFFFFF"/>
        </w:rPr>
        <w:t> and serves as a principal agency of the U.S. Federal </w:t>
      </w:r>
      <w:r w:rsidRPr="00C64D7B">
        <w:rPr>
          <w:rFonts w:cstheme="minorHAnsi"/>
          <w:bCs/>
          <w:sz w:val="20"/>
          <w:szCs w:val="20"/>
          <w:shd w:val="clear" w:color="auto" w:fill="FFFFFF"/>
        </w:rPr>
        <w:t>Statistical</w:t>
      </w:r>
      <w:r w:rsidRPr="00C64D7B">
        <w:rPr>
          <w:rFonts w:cstheme="minorHAnsi"/>
          <w:sz w:val="20"/>
          <w:szCs w:val="20"/>
          <w:shd w:val="clear" w:color="auto" w:fill="FFFFFF"/>
        </w:rPr>
        <w:t> System.</w:t>
      </w:r>
    </w:p>
    <w:p w:rsidR="000F0959" w:rsidRPr="00C64D7B" w:rsidRDefault="000F0959" w:rsidP="000F0959">
      <w:pPr>
        <w:pStyle w:val="ListParagraph"/>
        <w:spacing w:line="240" w:lineRule="atLeast"/>
        <w:rPr>
          <w:rFonts w:cstheme="minorHAnsi"/>
          <w:sz w:val="20"/>
          <w:szCs w:val="20"/>
        </w:rPr>
      </w:pPr>
    </w:p>
    <w:p w:rsidR="000F0959" w:rsidRPr="00C64D7B" w:rsidRDefault="000F0959" w:rsidP="000F0959">
      <w:pPr>
        <w:pStyle w:val="ListParagraph"/>
        <w:numPr>
          <w:ilvl w:val="0"/>
          <w:numId w:val="1"/>
        </w:numPr>
        <w:spacing w:line="240" w:lineRule="atLeast"/>
        <w:rPr>
          <w:rFonts w:cstheme="minorHAnsi"/>
          <w:sz w:val="20"/>
          <w:szCs w:val="20"/>
        </w:rPr>
      </w:pPr>
      <w:r>
        <w:rPr>
          <w:rFonts w:cstheme="minorHAnsi"/>
          <w:b/>
          <w:sz w:val="20"/>
          <w:szCs w:val="20"/>
        </w:rPr>
        <w:t>T</w:t>
      </w:r>
      <w:r w:rsidRPr="00C64D7B">
        <w:rPr>
          <w:rFonts w:cstheme="minorHAnsi"/>
          <w:b/>
          <w:sz w:val="20"/>
          <w:szCs w:val="20"/>
        </w:rPr>
        <w:t>emporary Labor</w:t>
      </w:r>
      <w:r w:rsidRPr="00C64D7B">
        <w:rPr>
          <w:rFonts w:cstheme="minorHAnsi"/>
          <w:sz w:val="20"/>
          <w:szCs w:val="20"/>
        </w:rPr>
        <w:t xml:space="preserve"> – </w:t>
      </w:r>
      <w:r w:rsidRPr="00C64D7B">
        <w:rPr>
          <w:rFonts w:cstheme="minorHAnsi"/>
          <w:bCs/>
          <w:color w:val="222222"/>
          <w:sz w:val="20"/>
          <w:szCs w:val="20"/>
          <w:shd w:val="clear" w:color="auto" w:fill="FFFFFF"/>
        </w:rPr>
        <w:t>Temporary work</w:t>
      </w:r>
      <w:r w:rsidRPr="00C64D7B">
        <w:rPr>
          <w:rFonts w:cstheme="minorHAnsi"/>
          <w:color w:val="222222"/>
          <w:sz w:val="20"/>
          <w:szCs w:val="20"/>
          <w:shd w:val="clear" w:color="auto" w:fill="FFFFFF"/>
        </w:rPr>
        <w:t> or </w:t>
      </w:r>
      <w:r w:rsidRPr="00C64D7B">
        <w:rPr>
          <w:rFonts w:cstheme="minorHAnsi"/>
          <w:bCs/>
          <w:color w:val="222222"/>
          <w:sz w:val="20"/>
          <w:szCs w:val="20"/>
          <w:shd w:val="clear" w:color="auto" w:fill="FFFFFF"/>
        </w:rPr>
        <w:t>temporary employment</w:t>
      </w:r>
      <w:r w:rsidRPr="00C64D7B">
        <w:rPr>
          <w:rFonts w:cstheme="minorHAnsi"/>
          <w:color w:val="222222"/>
          <w:sz w:val="20"/>
          <w:szCs w:val="20"/>
          <w:shd w:val="clear" w:color="auto" w:fill="FFFFFF"/>
        </w:rPr>
        <w:t xml:space="preserve"> refers to an </w:t>
      </w:r>
      <w:r w:rsidRPr="00C64D7B">
        <w:rPr>
          <w:rFonts w:cstheme="minorHAnsi"/>
          <w:bCs/>
          <w:color w:val="222222"/>
          <w:sz w:val="20"/>
          <w:szCs w:val="20"/>
          <w:shd w:val="clear" w:color="auto" w:fill="FFFFFF"/>
        </w:rPr>
        <w:t>employment</w:t>
      </w:r>
      <w:r w:rsidRPr="00C64D7B">
        <w:rPr>
          <w:rFonts w:cstheme="minorHAnsi"/>
          <w:color w:val="222222"/>
          <w:sz w:val="20"/>
          <w:szCs w:val="20"/>
          <w:shd w:val="clear" w:color="auto" w:fill="FFFFFF"/>
        </w:rPr>
        <w:t xml:space="preserve"> situation where the working arrangement is limited to a certain period of time based on the needs of the employing organization (a temporary staffing firm finds and retains workers). </w:t>
      </w:r>
    </w:p>
    <w:p w:rsidR="000F0959" w:rsidRPr="00C64D7B" w:rsidRDefault="000F0959" w:rsidP="000F0959">
      <w:pPr>
        <w:pStyle w:val="ListParagraph"/>
        <w:spacing w:line="240" w:lineRule="atLeast"/>
        <w:rPr>
          <w:rFonts w:cstheme="minorHAnsi"/>
          <w:b/>
          <w:sz w:val="20"/>
          <w:szCs w:val="20"/>
        </w:rPr>
      </w:pPr>
    </w:p>
    <w:p w:rsidR="003B43F7" w:rsidRDefault="003B43F7" w:rsidP="000F0959">
      <w:pPr>
        <w:pStyle w:val="ListParagraph"/>
        <w:spacing w:line="240" w:lineRule="atLeast"/>
        <w:ind w:left="0"/>
        <w:rPr>
          <w:rFonts w:cstheme="minorHAnsi"/>
          <w:b/>
          <w:sz w:val="19"/>
          <w:szCs w:val="19"/>
        </w:rPr>
      </w:pPr>
    </w:p>
    <w:p w:rsidR="003B43F7" w:rsidRDefault="003B43F7" w:rsidP="000F0959">
      <w:pPr>
        <w:pStyle w:val="ListParagraph"/>
        <w:spacing w:line="240" w:lineRule="atLeast"/>
        <w:ind w:left="0"/>
        <w:rPr>
          <w:rFonts w:cstheme="minorHAnsi"/>
          <w:b/>
          <w:sz w:val="19"/>
          <w:szCs w:val="19"/>
        </w:rPr>
      </w:pPr>
    </w:p>
    <w:p w:rsidR="003B43F7" w:rsidRDefault="003B43F7" w:rsidP="000F0959">
      <w:pPr>
        <w:pStyle w:val="ListParagraph"/>
        <w:spacing w:line="240" w:lineRule="atLeast"/>
        <w:ind w:left="0"/>
        <w:rPr>
          <w:rFonts w:cstheme="minorHAnsi"/>
          <w:b/>
          <w:sz w:val="19"/>
          <w:szCs w:val="19"/>
        </w:rPr>
      </w:pPr>
    </w:p>
    <w:p w:rsidR="003B43F7" w:rsidRDefault="003B43F7" w:rsidP="000F0959">
      <w:pPr>
        <w:pStyle w:val="ListParagraph"/>
        <w:spacing w:line="240" w:lineRule="atLeast"/>
        <w:ind w:left="0"/>
        <w:rPr>
          <w:rFonts w:cstheme="minorHAnsi"/>
          <w:b/>
          <w:sz w:val="19"/>
          <w:szCs w:val="19"/>
        </w:rPr>
      </w:pPr>
    </w:p>
    <w:p w:rsidR="003B43F7" w:rsidRDefault="003B43F7" w:rsidP="000F0959">
      <w:pPr>
        <w:pStyle w:val="ListParagraph"/>
        <w:spacing w:line="240" w:lineRule="atLeast"/>
        <w:ind w:left="0"/>
        <w:rPr>
          <w:rFonts w:cstheme="minorHAnsi"/>
          <w:b/>
          <w:sz w:val="19"/>
          <w:szCs w:val="19"/>
        </w:rPr>
      </w:pPr>
    </w:p>
    <w:p w:rsidR="003B43F7" w:rsidRDefault="003B43F7" w:rsidP="000F0959">
      <w:pPr>
        <w:pStyle w:val="ListParagraph"/>
        <w:spacing w:line="240" w:lineRule="atLeast"/>
        <w:ind w:left="0"/>
        <w:rPr>
          <w:rFonts w:cstheme="minorHAnsi"/>
          <w:b/>
          <w:sz w:val="19"/>
          <w:szCs w:val="19"/>
        </w:rPr>
      </w:pPr>
    </w:p>
    <w:p w:rsidR="000F0959" w:rsidRPr="00E42A3F" w:rsidRDefault="000F0959" w:rsidP="000F0959">
      <w:pPr>
        <w:pStyle w:val="ListParagraph"/>
        <w:spacing w:line="240" w:lineRule="atLeast"/>
        <w:ind w:left="0"/>
        <w:rPr>
          <w:rFonts w:cstheme="minorHAnsi"/>
          <w:b/>
          <w:sz w:val="19"/>
          <w:szCs w:val="19"/>
        </w:rPr>
      </w:pPr>
      <w:bookmarkStart w:id="0" w:name="_GoBack"/>
      <w:bookmarkEnd w:id="0"/>
      <w:r w:rsidRPr="00E42A3F">
        <w:rPr>
          <w:rFonts w:cstheme="minorHAnsi"/>
          <w:b/>
          <w:sz w:val="19"/>
          <w:szCs w:val="19"/>
        </w:rPr>
        <w:lastRenderedPageBreak/>
        <w:t xml:space="preserve">Definitions Continued: </w:t>
      </w:r>
    </w:p>
    <w:p w:rsidR="000F0959" w:rsidRPr="00E42A3F" w:rsidRDefault="000F0959" w:rsidP="000F0959">
      <w:pPr>
        <w:pStyle w:val="ListParagraph"/>
        <w:spacing w:line="240" w:lineRule="atLeast"/>
        <w:rPr>
          <w:rFonts w:cstheme="minorHAnsi"/>
          <w:b/>
          <w:sz w:val="19"/>
          <w:szCs w:val="19"/>
        </w:rPr>
      </w:pPr>
    </w:p>
    <w:p w:rsidR="000F0959" w:rsidRPr="00E42A3F" w:rsidRDefault="000F0959" w:rsidP="000F0959">
      <w:pPr>
        <w:pStyle w:val="ListParagraph"/>
        <w:numPr>
          <w:ilvl w:val="0"/>
          <w:numId w:val="1"/>
        </w:numPr>
        <w:spacing w:line="240" w:lineRule="atLeast"/>
        <w:rPr>
          <w:rFonts w:cstheme="minorHAnsi"/>
          <w:b/>
          <w:sz w:val="19"/>
          <w:szCs w:val="19"/>
        </w:rPr>
      </w:pPr>
      <w:r w:rsidRPr="00E42A3F">
        <w:rPr>
          <w:rFonts w:cstheme="minorHAnsi"/>
          <w:b/>
          <w:sz w:val="19"/>
          <w:szCs w:val="19"/>
        </w:rPr>
        <w:t xml:space="preserve">DART </w:t>
      </w:r>
      <w:r w:rsidRPr="00E42A3F">
        <w:rPr>
          <w:rFonts w:cstheme="minorHAnsi"/>
          <w:sz w:val="19"/>
          <w:szCs w:val="19"/>
        </w:rPr>
        <w:t xml:space="preserve">– </w:t>
      </w:r>
      <w:r w:rsidRPr="00E42A3F">
        <w:rPr>
          <w:rFonts w:cstheme="minorHAnsi"/>
          <w:color w:val="333333"/>
          <w:sz w:val="19"/>
          <w:szCs w:val="19"/>
          <w:shd w:val="clear" w:color="auto" w:fill="FFFFFF"/>
        </w:rPr>
        <w:t>Days away, restricted or transferred (DART) is a safety metric used by the OSHA to show how many workplace injuries and illnesses caused the affected employees to remain away from work, restricted their work activities or resulted in a transfer to another job as they were unable to do their usual job within a calendar year. The DART rate helps management to identify safety matters in the workplace.</w:t>
      </w:r>
    </w:p>
    <w:p w:rsidR="000F0959" w:rsidRPr="00E42A3F" w:rsidRDefault="000F0959" w:rsidP="000F0959">
      <w:pPr>
        <w:pStyle w:val="ListParagraph"/>
        <w:rPr>
          <w:rFonts w:cstheme="minorHAnsi"/>
          <w:b/>
          <w:sz w:val="19"/>
          <w:szCs w:val="19"/>
        </w:rPr>
      </w:pPr>
    </w:p>
    <w:p w:rsidR="000F0959" w:rsidRPr="00E42A3F" w:rsidRDefault="000F0959" w:rsidP="000F0959">
      <w:pPr>
        <w:pStyle w:val="ListParagraph"/>
        <w:numPr>
          <w:ilvl w:val="0"/>
          <w:numId w:val="1"/>
        </w:numPr>
        <w:spacing w:line="240" w:lineRule="atLeast"/>
        <w:rPr>
          <w:rFonts w:cstheme="minorHAnsi"/>
          <w:sz w:val="19"/>
          <w:szCs w:val="19"/>
        </w:rPr>
      </w:pPr>
      <w:r w:rsidRPr="00E42A3F">
        <w:rPr>
          <w:rFonts w:cstheme="minorHAnsi"/>
          <w:b/>
          <w:sz w:val="19"/>
          <w:szCs w:val="19"/>
        </w:rPr>
        <w:t xml:space="preserve">DART Rate Formula </w:t>
      </w:r>
      <w:r w:rsidRPr="00E42A3F">
        <w:rPr>
          <w:rFonts w:cstheme="minorHAnsi"/>
          <w:sz w:val="19"/>
          <w:szCs w:val="19"/>
        </w:rPr>
        <w:t xml:space="preserve">– </w:t>
      </w:r>
      <w:r w:rsidRPr="00E42A3F">
        <w:rPr>
          <w:rStyle w:val="Strong"/>
          <w:rFonts w:cstheme="minorHAnsi"/>
          <w:color w:val="333333"/>
          <w:sz w:val="19"/>
          <w:szCs w:val="19"/>
          <w:shd w:val="clear" w:color="auto" w:fill="FFFFFF"/>
        </w:rPr>
        <w:t>(Total number of recordable injuries and illnesses, or one or more Restricted Days that resulted in an employee transferring to a different job within the company x 200,000) / Total number of hours worked by all employees</w:t>
      </w:r>
    </w:p>
    <w:p w:rsidR="000F0959" w:rsidRPr="00E42A3F" w:rsidRDefault="000F0959" w:rsidP="000F0959">
      <w:pPr>
        <w:pStyle w:val="ListParagraph"/>
        <w:rPr>
          <w:rFonts w:cstheme="minorHAnsi"/>
          <w:sz w:val="19"/>
          <w:szCs w:val="19"/>
        </w:rPr>
      </w:pPr>
    </w:p>
    <w:p w:rsidR="000F0959" w:rsidRPr="00E42A3F" w:rsidRDefault="000F0959" w:rsidP="000F0959">
      <w:pPr>
        <w:pStyle w:val="ListParagraph"/>
        <w:numPr>
          <w:ilvl w:val="0"/>
          <w:numId w:val="1"/>
        </w:numPr>
        <w:spacing w:line="240" w:lineRule="atLeast"/>
        <w:rPr>
          <w:rFonts w:cstheme="minorHAnsi"/>
          <w:sz w:val="19"/>
          <w:szCs w:val="19"/>
        </w:rPr>
      </w:pPr>
      <w:r w:rsidRPr="00E42A3F">
        <w:rPr>
          <w:rFonts w:cstheme="minorHAnsi"/>
          <w:b/>
          <w:sz w:val="19"/>
          <w:szCs w:val="19"/>
        </w:rPr>
        <w:t xml:space="preserve">Exempt Employee </w:t>
      </w:r>
      <w:r w:rsidRPr="00E42A3F">
        <w:rPr>
          <w:rFonts w:cstheme="minorHAnsi"/>
          <w:sz w:val="19"/>
          <w:szCs w:val="19"/>
        </w:rPr>
        <w:t>–</w:t>
      </w:r>
      <w:r w:rsidRPr="00E42A3F">
        <w:rPr>
          <w:rFonts w:cstheme="minorHAnsi"/>
          <w:b/>
          <w:sz w:val="19"/>
          <w:szCs w:val="19"/>
        </w:rPr>
        <w:t xml:space="preserve"> </w:t>
      </w:r>
      <w:r w:rsidRPr="00E42A3F">
        <w:rPr>
          <w:rFonts w:cstheme="minorHAnsi"/>
          <w:sz w:val="19"/>
          <w:szCs w:val="19"/>
        </w:rPr>
        <w:t>E</w:t>
      </w:r>
      <w:r w:rsidRPr="00E42A3F">
        <w:rPr>
          <w:rFonts w:cstheme="minorHAnsi"/>
          <w:bCs/>
          <w:sz w:val="19"/>
          <w:szCs w:val="19"/>
          <w:shd w:val="clear" w:color="auto" w:fill="FFFFFF"/>
        </w:rPr>
        <w:t>mployees</w:t>
      </w:r>
      <w:r w:rsidRPr="00E42A3F">
        <w:rPr>
          <w:rFonts w:cstheme="minorHAnsi"/>
          <w:sz w:val="19"/>
          <w:szCs w:val="19"/>
          <w:shd w:val="clear" w:color="auto" w:fill="FFFFFF"/>
        </w:rPr>
        <w:t> who, because of their positional duties and responsibilities and level of decision-making authority, are </w:t>
      </w:r>
      <w:r w:rsidRPr="00E42A3F">
        <w:rPr>
          <w:rFonts w:cstheme="minorHAnsi"/>
          <w:bCs/>
          <w:sz w:val="19"/>
          <w:szCs w:val="19"/>
          <w:shd w:val="clear" w:color="auto" w:fill="FFFFFF"/>
        </w:rPr>
        <w:t>exempt</w:t>
      </w:r>
      <w:r w:rsidRPr="00E42A3F">
        <w:rPr>
          <w:rFonts w:cstheme="minorHAnsi"/>
          <w:sz w:val="19"/>
          <w:szCs w:val="19"/>
          <w:shd w:val="clear" w:color="auto" w:fill="FFFFFF"/>
        </w:rPr>
        <w:t> from the overtime provisions of the Fair Labor Standards Act (FLSA).</w:t>
      </w:r>
    </w:p>
    <w:p w:rsidR="000F0959" w:rsidRPr="00E42A3F" w:rsidRDefault="000F0959" w:rsidP="000F0959">
      <w:pPr>
        <w:pStyle w:val="ListParagraph"/>
        <w:rPr>
          <w:rFonts w:cstheme="minorHAnsi"/>
          <w:sz w:val="19"/>
          <w:szCs w:val="19"/>
        </w:rPr>
      </w:pPr>
    </w:p>
    <w:p w:rsidR="000F0959" w:rsidRPr="00E42A3F" w:rsidRDefault="000F0959" w:rsidP="000F0959">
      <w:pPr>
        <w:pStyle w:val="ListParagraph"/>
        <w:numPr>
          <w:ilvl w:val="0"/>
          <w:numId w:val="1"/>
        </w:numPr>
        <w:spacing w:line="240" w:lineRule="atLeast"/>
        <w:rPr>
          <w:rFonts w:cstheme="minorHAnsi"/>
          <w:sz w:val="19"/>
          <w:szCs w:val="19"/>
        </w:rPr>
      </w:pPr>
      <w:r w:rsidRPr="00E42A3F">
        <w:rPr>
          <w:rFonts w:cstheme="minorHAnsi"/>
          <w:b/>
          <w:sz w:val="19"/>
          <w:szCs w:val="19"/>
        </w:rPr>
        <w:t>Experience Mod Rate</w:t>
      </w:r>
      <w:r w:rsidRPr="00E42A3F">
        <w:rPr>
          <w:rFonts w:cstheme="minorHAnsi"/>
          <w:sz w:val="19"/>
          <w:szCs w:val="19"/>
        </w:rPr>
        <w:t xml:space="preserve"> – </w:t>
      </w:r>
      <w:r w:rsidRPr="00E42A3F">
        <w:rPr>
          <w:rFonts w:cstheme="minorHAnsi"/>
          <w:color w:val="222222"/>
          <w:sz w:val="19"/>
          <w:szCs w:val="19"/>
          <w:shd w:val="clear" w:color="auto" w:fill="FFFFFF"/>
        </w:rPr>
        <w:t>An EMR</w:t>
      </w:r>
      <w:r w:rsidRPr="00E42A3F">
        <w:rPr>
          <w:rFonts w:cstheme="minorHAnsi"/>
          <w:bCs/>
          <w:color w:val="222222"/>
          <w:sz w:val="19"/>
          <w:szCs w:val="19"/>
          <w:shd w:val="clear" w:color="auto" w:fill="FFFFFF"/>
        </w:rPr>
        <w:t xml:space="preserve"> rate</w:t>
      </w:r>
      <w:r w:rsidRPr="00E42A3F">
        <w:rPr>
          <w:rFonts w:cstheme="minorHAnsi"/>
          <w:color w:val="222222"/>
          <w:sz w:val="19"/>
          <w:szCs w:val="19"/>
          <w:shd w:val="clear" w:color="auto" w:fill="FFFFFF"/>
        </w:rPr>
        <w:t xml:space="preserve"> contributes to how much companies pay each month in workers' compensation premiums. It is partly determined by the industry classification in which a company operates and how many OSHA Recordable incidents it accumulates. </w:t>
      </w:r>
    </w:p>
    <w:p w:rsidR="000F0959" w:rsidRPr="00E42A3F" w:rsidRDefault="000F0959" w:rsidP="000F0959">
      <w:pPr>
        <w:pStyle w:val="ListParagraph"/>
        <w:rPr>
          <w:rFonts w:cstheme="minorHAnsi"/>
          <w:sz w:val="19"/>
          <w:szCs w:val="19"/>
        </w:rPr>
      </w:pPr>
    </w:p>
    <w:p w:rsidR="000F0959" w:rsidRPr="00E42A3F" w:rsidRDefault="000F0959" w:rsidP="000F0959">
      <w:pPr>
        <w:pStyle w:val="ListParagraph"/>
        <w:numPr>
          <w:ilvl w:val="0"/>
          <w:numId w:val="1"/>
        </w:numPr>
        <w:spacing w:line="240" w:lineRule="atLeast"/>
        <w:rPr>
          <w:rFonts w:cstheme="minorHAnsi"/>
          <w:sz w:val="19"/>
          <w:szCs w:val="19"/>
        </w:rPr>
      </w:pPr>
      <w:r w:rsidRPr="00E42A3F">
        <w:rPr>
          <w:rFonts w:cstheme="minorHAnsi"/>
          <w:b/>
          <w:sz w:val="19"/>
          <w:szCs w:val="19"/>
        </w:rPr>
        <w:t>Incident Frequency Rate</w:t>
      </w:r>
      <w:r w:rsidRPr="00E42A3F">
        <w:rPr>
          <w:rFonts w:cstheme="minorHAnsi"/>
          <w:sz w:val="19"/>
          <w:szCs w:val="19"/>
        </w:rPr>
        <w:t xml:space="preserve"> – N</w:t>
      </w:r>
      <w:r w:rsidRPr="00E42A3F">
        <w:rPr>
          <w:rFonts w:cstheme="minorHAnsi"/>
          <w:color w:val="333333"/>
          <w:sz w:val="19"/>
          <w:szCs w:val="19"/>
          <w:shd w:val="clear" w:color="auto" w:fill="FFFFFF"/>
        </w:rPr>
        <w:t>umber of incidents (injuries/illnesses) per 1,000,000 employee-hours worked. It is an indicator of the state of health and safety at a workplace. It provides an idea about the organization’s efforts to protect the workers from work related hazards.</w:t>
      </w:r>
    </w:p>
    <w:p w:rsidR="000F0959" w:rsidRPr="00E42A3F" w:rsidRDefault="000F0959" w:rsidP="000F0959">
      <w:pPr>
        <w:pStyle w:val="ListParagraph"/>
        <w:rPr>
          <w:rFonts w:cstheme="minorHAnsi"/>
          <w:sz w:val="19"/>
          <w:szCs w:val="19"/>
        </w:rPr>
      </w:pPr>
    </w:p>
    <w:p w:rsidR="000F0959" w:rsidRPr="00E42A3F" w:rsidRDefault="000F0959" w:rsidP="000F0959">
      <w:pPr>
        <w:pStyle w:val="ListParagraph"/>
        <w:numPr>
          <w:ilvl w:val="0"/>
          <w:numId w:val="1"/>
        </w:numPr>
        <w:spacing w:line="240" w:lineRule="atLeast"/>
        <w:rPr>
          <w:rFonts w:cstheme="minorHAnsi"/>
          <w:sz w:val="19"/>
          <w:szCs w:val="19"/>
        </w:rPr>
      </w:pPr>
      <w:r w:rsidRPr="00E42A3F">
        <w:rPr>
          <w:rFonts w:cstheme="minorHAnsi"/>
          <w:b/>
          <w:sz w:val="19"/>
          <w:szCs w:val="19"/>
        </w:rPr>
        <w:t>NAICS Code</w:t>
      </w:r>
      <w:r w:rsidRPr="00E42A3F">
        <w:rPr>
          <w:rFonts w:cstheme="minorHAnsi"/>
          <w:sz w:val="19"/>
          <w:szCs w:val="19"/>
        </w:rPr>
        <w:t xml:space="preserve"> – </w:t>
      </w:r>
      <w:r w:rsidRPr="00E42A3F">
        <w:rPr>
          <w:rFonts w:cstheme="minorHAnsi"/>
          <w:sz w:val="19"/>
          <w:szCs w:val="19"/>
          <w:shd w:val="clear" w:color="auto" w:fill="FFFFFF"/>
        </w:rPr>
        <w:t>The North American Industry Classification System (</w:t>
      </w:r>
      <w:r w:rsidRPr="00E42A3F">
        <w:rPr>
          <w:rFonts w:cstheme="minorHAnsi"/>
          <w:bCs/>
          <w:sz w:val="19"/>
          <w:szCs w:val="19"/>
          <w:shd w:val="clear" w:color="auto" w:fill="FFFFFF"/>
        </w:rPr>
        <w:t>NAICS</w:t>
      </w:r>
      <w:r w:rsidRPr="00E42A3F">
        <w:rPr>
          <w:rFonts w:cstheme="minorHAnsi"/>
          <w:sz w:val="19"/>
          <w:szCs w:val="19"/>
          <w:shd w:val="clear" w:color="auto" w:fill="FFFFFF"/>
        </w:rPr>
        <w:t>) is the standard used by Federal statistical agencies in classifying business establishments for the purpose of collecting, analyzing, and publishing statistical data related to the U.S. business economy.</w:t>
      </w:r>
    </w:p>
    <w:p w:rsidR="000F0959" w:rsidRPr="00E42A3F" w:rsidRDefault="000F0959" w:rsidP="000F0959">
      <w:pPr>
        <w:pStyle w:val="ListParagraph"/>
        <w:ind w:left="360"/>
        <w:rPr>
          <w:rFonts w:cstheme="minorHAnsi"/>
          <w:sz w:val="19"/>
          <w:szCs w:val="19"/>
        </w:rPr>
      </w:pPr>
    </w:p>
    <w:p w:rsidR="000F0959" w:rsidRPr="00E42A3F" w:rsidRDefault="000F0959" w:rsidP="000F0959">
      <w:pPr>
        <w:pStyle w:val="ListParagraph"/>
        <w:numPr>
          <w:ilvl w:val="0"/>
          <w:numId w:val="1"/>
        </w:numPr>
        <w:spacing w:line="240" w:lineRule="atLeast"/>
        <w:rPr>
          <w:rFonts w:cstheme="minorHAnsi"/>
          <w:sz w:val="19"/>
          <w:szCs w:val="19"/>
        </w:rPr>
      </w:pPr>
      <w:r w:rsidRPr="00E42A3F">
        <w:rPr>
          <w:rFonts w:cstheme="minorHAnsi"/>
          <w:b/>
          <w:sz w:val="19"/>
          <w:szCs w:val="19"/>
        </w:rPr>
        <w:t xml:space="preserve">Non-exempt Employee </w:t>
      </w:r>
      <w:r w:rsidRPr="00E42A3F">
        <w:rPr>
          <w:rFonts w:cstheme="minorHAnsi"/>
          <w:sz w:val="19"/>
          <w:szCs w:val="19"/>
        </w:rPr>
        <w:t xml:space="preserve">– </w:t>
      </w:r>
      <w:r w:rsidRPr="00E42A3F">
        <w:rPr>
          <w:rFonts w:cstheme="minorHAnsi"/>
          <w:sz w:val="19"/>
          <w:szCs w:val="19"/>
          <w:shd w:val="clear" w:color="auto" w:fill="FFFFFF"/>
        </w:rPr>
        <w:t>A </w:t>
      </w:r>
      <w:r w:rsidRPr="00E42A3F">
        <w:rPr>
          <w:rFonts w:cstheme="minorHAnsi"/>
          <w:bCs/>
          <w:sz w:val="19"/>
          <w:szCs w:val="19"/>
          <w:shd w:val="clear" w:color="auto" w:fill="FFFFFF"/>
        </w:rPr>
        <w:t>non</w:t>
      </w:r>
      <w:r w:rsidRPr="00E42A3F">
        <w:rPr>
          <w:rFonts w:cstheme="minorHAnsi"/>
          <w:sz w:val="19"/>
          <w:szCs w:val="19"/>
          <w:shd w:val="clear" w:color="auto" w:fill="FFFFFF"/>
        </w:rPr>
        <w:t>-</w:t>
      </w:r>
      <w:r w:rsidRPr="00E42A3F">
        <w:rPr>
          <w:rFonts w:cstheme="minorHAnsi"/>
          <w:bCs/>
          <w:sz w:val="19"/>
          <w:szCs w:val="19"/>
          <w:shd w:val="clear" w:color="auto" w:fill="FFFFFF"/>
        </w:rPr>
        <w:t>exempt employee</w:t>
      </w:r>
      <w:r w:rsidRPr="00E42A3F">
        <w:rPr>
          <w:rFonts w:cstheme="minorHAnsi"/>
          <w:sz w:val="19"/>
          <w:szCs w:val="19"/>
          <w:shd w:val="clear" w:color="auto" w:fill="FFFFFF"/>
        </w:rPr>
        <w:t> is entitled to overtime pay through the Fair Labor Standards Act (FLSA). Employers are required to pay time and a half the </w:t>
      </w:r>
      <w:r w:rsidRPr="00E42A3F">
        <w:rPr>
          <w:rFonts w:cstheme="minorHAnsi"/>
          <w:bCs/>
          <w:sz w:val="19"/>
          <w:szCs w:val="19"/>
          <w:shd w:val="clear" w:color="auto" w:fill="FFFFFF"/>
        </w:rPr>
        <w:t>employee's</w:t>
      </w:r>
      <w:r w:rsidRPr="00E42A3F">
        <w:rPr>
          <w:rFonts w:cstheme="minorHAnsi"/>
          <w:sz w:val="19"/>
          <w:szCs w:val="19"/>
          <w:shd w:val="clear" w:color="auto" w:fill="FFFFFF"/>
        </w:rPr>
        <w:t> regular rate of pay when they </w:t>
      </w:r>
      <w:r w:rsidRPr="00E42A3F">
        <w:rPr>
          <w:rFonts w:cstheme="minorHAnsi"/>
          <w:bCs/>
          <w:sz w:val="19"/>
          <w:szCs w:val="19"/>
          <w:shd w:val="clear" w:color="auto" w:fill="FFFFFF"/>
        </w:rPr>
        <w:t>work</w:t>
      </w:r>
      <w:r w:rsidRPr="00E42A3F">
        <w:rPr>
          <w:rFonts w:cstheme="minorHAnsi"/>
          <w:sz w:val="19"/>
          <w:szCs w:val="19"/>
          <w:shd w:val="clear" w:color="auto" w:fill="FFFFFF"/>
        </w:rPr>
        <w:t> more than 40 hours in a given pay week.</w:t>
      </w:r>
    </w:p>
    <w:p w:rsidR="000F0959" w:rsidRPr="00E42A3F" w:rsidRDefault="000F0959" w:rsidP="000F0959">
      <w:pPr>
        <w:pStyle w:val="ListParagraph"/>
        <w:rPr>
          <w:rFonts w:cstheme="minorHAnsi"/>
          <w:sz w:val="19"/>
          <w:szCs w:val="19"/>
        </w:rPr>
      </w:pPr>
    </w:p>
    <w:p w:rsidR="000F0959" w:rsidRPr="00704774" w:rsidRDefault="000F0959" w:rsidP="000F0959">
      <w:pPr>
        <w:pStyle w:val="ListParagraph"/>
        <w:numPr>
          <w:ilvl w:val="0"/>
          <w:numId w:val="1"/>
        </w:numPr>
        <w:spacing w:line="240" w:lineRule="exact"/>
        <w:rPr>
          <w:rFonts w:cstheme="minorHAnsi"/>
          <w:sz w:val="19"/>
          <w:szCs w:val="19"/>
        </w:rPr>
      </w:pPr>
      <w:r w:rsidRPr="00E42A3F">
        <w:rPr>
          <w:rFonts w:cstheme="minorHAnsi"/>
          <w:b/>
          <w:sz w:val="19"/>
          <w:szCs w:val="19"/>
        </w:rPr>
        <w:t xml:space="preserve">Number of Employees Required for OSHA Recording </w:t>
      </w:r>
      <w:r w:rsidRPr="00E42A3F">
        <w:rPr>
          <w:rFonts w:cstheme="minorHAnsi"/>
          <w:sz w:val="19"/>
          <w:szCs w:val="19"/>
        </w:rPr>
        <w:t xml:space="preserve">– </w:t>
      </w:r>
      <w:r w:rsidRPr="00E42A3F">
        <w:rPr>
          <w:rFonts w:cstheme="minorHAnsi"/>
          <w:color w:val="222222"/>
          <w:sz w:val="19"/>
          <w:szCs w:val="19"/>
          <w:shd w:val="clear" w:color="auto" w:fill="FFFFFF"/>
        </w:rPr>
        <w:t>If your company had </w:t>
      </w:r>
      <w:r w:rsidRPr="00E42A3F">
        <w:rPr>
          <w:rFonts w:cstheme="minorHAnsi"/>
          <w:bCs/>
          <w:color w:val="222222"/>
          <w:sz w:val="19"/>
          <w:szCs w:val="19"/>
          <w:shd w:val="clear" w:color="auto" w:fill="FFFFFF"/>
        </w:rPr>
        <w:t>ten</w:t>
      </w:r>
      <w:r w:rsidRPr="00E42A3F">
        <w:rPr>
          <w:rFonts w:cstheme="minorHAnsi"/>
          <w:color w:val="222222"/>
          <w:sz w:val="19"/>
          <w:szCs w:val="19"/>
          <w:shd w:val="clear" w:color="auto" w:fill="FFFFFF"/>
        </w:rPr>
        <w:t> (10) or fewer employees at all times during the last calendar year, you do not need to keep OSHA injury and illness records unless OSHA or the BLS informs you in writing that you must keep records under § </w:t>
      </w:r>
      <w:r w:rsidRPr="00E42A3F">
        <w:rPr>
          <w:rFonts w:cstheme="minorHAnsi"/>
          <w:bCs/>
          <w:color w:val="222222"/>
          <w:sz w:val="19"/>
          <w:szCs w:val="19"/>
          <w:shd w:val="clear" w:color="auto" w:fill="FFFFFF"/>
        </w:rPr>
        <w:t>1904.41</w:t>
      </w:r>
      <w:r w:rsidRPr="00E42A3F">
        <w:rPr>
          <w:rFonts w:cstheme="minorHAnsi"/>
          <w:color w:val="222222"/>
          <w:sz w:val="19"/>
          <w:szCs w:val="19"/>
          <w:shd w:val="clear" w:color="auto" w:fill="FFFFFF"/>
        </w:rPr>
        <w:t> or §</w:t>
      </w:r>
      <w:r w:rsidRPr="00E42A3F">
        <w:rPr>
          <w:rFonts w:cstheme="minorHAnsi"/>
          <w:bCs/>
          <w:color w:val="222222"/>
          <w:sz w:val="19"/>
          <w:szCs w:val="19"/>
          <w:shd w:val="clear" w:color="auto" w:fill="FFFFFF"/>
        </w:rPr>
        <w:t>1904.42</w:t>
      </w:r>
      <w:r w:rsidRPr="00E42A3F">
        <w:rPr>
          <w:rFonts w:cstheme="minorHAnsi"/>
          <w:color w:val="222222"/>
          <w:sz w:val="19"/>
          <w:szCs w:val="19"/>
          <w:shd w:val="clear" w:color="auto" w:fill="FFFFFF"/>
        </w:rPr>
        <w:t>.</w:t>
      </w:r>
    </w:p>
    <w:p w:rsidR="000F0959" w:rsidRPr="00704774" w:rsidRDefault="000F0959" w:rsidP="000F0959">
      <w:pPr>
        <w:pStyle w:val="ListParagraph"/>
        <w:rPr>
          <w:rFonts w:cstheme="minorHAnsi"/>
          <w:sz w:val="19"/>
          <w:szCs w:val="19"/>
        </w:rPr>
      </w:pPr>
    </w:p>
    <w:p w:rsidR="000F0959" w:rsidRPr="00E42A3F" w:rsidRDefault="000F0959" w:rsidP="000F0959">
      <w:pPr>
        <w:pStyle w:val="ListParagraph"/>
        <w:numPr>
          <w:ilvl w:val="0"/>
          <w:numId w:val="1"/>
        </w:numPr>
        <w:spacing w:line="240" w:lineRule="exact"/>
        <w:rPr>
          <w:rFonts w:cstheme="minorHAnsi"/>
          <w:sz w:val="20"/>
          <w:szCs w:val="20"/>
        </w:rPr>
      </w:pPr>
      <w:r w:rsidRPr="00E42A3F">
        <w:rPr>
          <w:rFonts w:cstheme="minorHAnsi"/>
          <w:b/>
          <w:sz w:val="19"/>
          <w:szCs w:val="19"/>
        </w:rPr>
        <w:t>Recording Days Awa</w:t>
      </w:r>
      <w:r>
        <w:rPr>
          <w:rFonts w:cstheme="minorHAnsi"/>
          <w:b/>
          <w:sz w:val="19"/>
          <w:szCs w:val="19"/>
        </w:rPr>
        <w:t>y</w:t>
      </w:r>
      <w:r w:rsidRPr="00E42A3F">
        <w:rPr>
          <w:rFonts w:cstheme="minorHAnsi"/>
          <w:b/>
          <w:sz w:val="19"/>
          <w:szCs w:val="19"/>
        </w:rPr>
        <w:t xml:space="preserve"> from Work</w:t>
      </w:r>
      <w:r>
        <w:rPr>
          <w:rFonts w:cstheme="minorHAnsi"/>
          <w:b/>
          <w:sz w:val="19"/>
          <w:szCs w:val="19"/>
        </w:rPr>
        <w:t xml:space="preserve"> on the OSHA 300</w:t>
      </w:r>
      <w:r w:rsidRPr="00E42A3F">
        <w:rPr>
          <w:rFonts w:cstheme="minorHAnsi"/>
          <w:b/>
          <w:sz w:val="19"/>
          <w:szCs w:val="19"/>
        </w:rPr>
        <w:t xml:space="preserve"> </w:t>
      </w:r>
      <w:r w:rsidRPr="00E42A3F">
        <w:rPr>
          <w:rFonts w:cstheme="minorHAnsi"/>
          <w:sz w:val="19"/>
          <w:szCs w:val="19"/>
        </w:rPr>
        <w:t xml:space="preserve">– </w:t>
      </w:r>
      <w:r w:rsidRPr="00E42A3F">
        <w:rPr>
          <w:rFonts w:cstheme="minorHAnsi"/>
          <w:color w:val="000000"/>
          <w:sz w:val="19"/>
          <w:szCs w:val="19"/>
          <w:shd w:val="clear" w:color="auto" w:fill="FFFFFF"/>
        </w:rPr>
        <w:t>When counting days, be sure to count the days the employee would not have been able to work regardless of whether he or she was scheduled to work.  This would include weekends and holidays.  Do not count the day of the injury.  If the day count reaches 180 calendar days, you may stop counting subsequent days and enter 180 in column K.</w:t>
      </w:r>
    </w:p>
    <w:p w:rsidR="000F0959" w:rsidRPr="00E42A3F" w:rsidRDefault="000F0959" w:rsidP="000F0959">
      <w:pPr>
        <w:pStyle w:val="ListParagraph"/>
        <w:rPr>
          <w:rFonts w:cstheme="minorHAnsi"/>
          <w:sz w:val="19"/>
          <w:szCs w:val="19"/>
        </w:rPr>
      </w:pPr>
    </w:p>
    <w:p w:rsidR="000F0959" w:rsidRPr="00E42A3F" w:rsidRDefault="000F0959" w:rsidP="000F0959">
      <w:pPr>
        <w:pStyle w:val="ListParagraph"/>
        <w:numPr>
          <w:ilvl w:val="0"/>
          <w:numId w:val="1"/>
        </w:numPr>
        <w:spacing w:line="240" w:lineRule="atLeast"/>
        <w:rPr>
          <w:rFonts w:cstheme="minorHAnsi"/>
          <w:b/>
          <w:sz w:val="19"/>
          <w:szCs w:val="19"/>
        </w:rPr>
      </w:pPr>
      <w:r w:rsidRPr="00E42A3F">
        <w:rPr>
          <w:rFonts w:cstheme="minorHAnsi"/>
          <w:b/>
          <w:sz w:val="19"/>
          <w:szCs w:val="19"/>
        </w:rPr>
        <w:t xml:space="preserve">Recordable Incident </w:t>
      </w:r>
      <w:r w:rsidRPr="00E42A3F">
        <w:rPr>
          <w:rFonts w:cstheme="minorHAnsi"/>
          <w:sz w:val="19"/>
          <w:szCs w:val="19"/>
        </w:rPr>
        <w:t xml:space="preserve">– </w:t>
      </w:r>
      <w:r w:rsidRPr="00E42A3F">
        <w:rPr>
          <w:rFonts w:cstheme="minorHAnsi"/>
          <w:sz w:val="19"/>
          <w:szCs w:val="19"/>
          <w:shd w:val="clear" w:color="auto" w:fill="FCFCFC"/>
        </w:rPr>
        <w:t>All work related deaths and illnesses, and those work-related injuries which result in: death, loss of consciousness, restriction of work or motion, transfer to another job, or require medical treatment beyond first aid.</w:t>
      </w:r>
    </w:p>
    <w:p w:rsidR="000F0959" w:rsidRPr="00E42A3F" w:rsidRDefault="000F0959" w:rsidP="000F0959">
      <w:pPr>
        <w:pStyle w:val="ListParagraph"/>
        <w:spacing w:line="240" w:lineRule="atLeast"/>
        <w:rPr>
          <w:rFonts w:cstheme="minorHAnsi"/>
          <w:b/>
          <w:sz w:val="19"/>
          <w:szCs w:val="19"/>
        </w:rPr>
      </w:pPr>
    </w:p>
    <w:p w:rsidR="000F0959" w:rsidRPr="00E42A3F" w:rsidRDefault="000F0959" w:rsidP="000F0959">
      <w:pPr>
        <w:pStyle w:val="ListParagraph"/>
        <w:numPr>
          <w:ilvl w:val="0"/>
          <w:numId w:val="1"/>
        </w:numPr>
        <w:spacing w:line="240" w:lineRule="exact"/>
        <w:rPr>
          <w:rFonts w:cstheme="minorHAnsi"/>
          <w:sz w:val="19"/>
          <w:szCs w:val="19"/>
        </w:rPr>
      </w:pPr>
      <w:r w:rsidRPr="00E42A3F">
        <w:rPr>
          <w:rFonts w:cstheme="minorHAnsi"/>
          <w:b/>
          <w:sz w:val="19"/>
          <w:szCs w:val="19"/>
        </w:rPr>
        <w:t xml:space="preserve">Total Recordable Incident Rate </w:t>
      </w:r>
      <w:r w:rsidRPr="00E42A3F">
        <w:rPr>
          <w:rFonts w:cstheme="minorHAnsi"/>
          <w:sz w:val="19"/>
          <w:szCs w:val="19"/>
        </w:rPr>
        <w:t xml:space="preserve">– Is </w:t>
      </w:r>
      <w:r w:rsidRPr="00E42A3F">
        <w:rPr>
          <w:rFonts w:cstheme="minorHAnsi"/>
          <w:color w:val="000000"/>
          <w:sz w:val="19"/>
          <w:szCs w:val="19"/>
        </w:rPr>
        <w:t xml:space="preserve">defined as the number of work-related injuries per 100 full-time workers during a one year period. </w:t>
      </w:r>
      <w:r w:rsidRPr="00E42A3F">
        <w:rPr>
          <w:rFonts w:cstheme="minorHAnsi"/>
          <w:sz w:val="19"/>
          <w:szCs w:val="19"/>
        </w:rPr>
        <w:t>OSHA uses the TRIR to monitor high-risk industries, and they also allow </w:t>
      </w:r>
      <w:hyperlink r:id="rId8" w:tgtFrame="_blank" w:history="1">
        <w:r w:rsidRPr="00E42A3F">
          <w:rPr>
            <w:rFonts w:cstheme="minorHAnsi"/>
            <w:sz w:val="19"/>
            <w:szCs w:val="19"/>
          </w:rPr>
          <w:t>EHS managers</w:t>
        </w:r>
      </w:hyperlink>
      <w:r w:rsidRPr="00E42A3F">
        <w:rPr>
          <w:rFonts w:cstheme="minorHAnsi"/>
          <w:sz w:val="19"/>
          <w:szCs w:val="19"/>
        </w:rPr>
        <w:t xml:space="preserve"> to track incidents and discover patterns across different departments or facilities. </w:t>
      </w:r>
    </w:p>
    <w:p w:rsidR="000F0959" w:rsidRPr="00E42A3F" w:rsidRDefault="000F0959" w:rsidP="000F0959">
      <w:pPr>
        <w:pStyle w:val="ListParagraph"/>
        <w:rPr>
          <w:rFonts w:cstheme="minorHAnsi"/>
          <w:b/>
          <w:sz w:val="19"/>
          <w:szCs w:val="19"/>
        </w:rPr>
      </w:pPr>
    </w:p>
    <w:p w:rsidR="000F0959" w:rsidRPr="002624B8" w:rsidRDefault="000F0959" w:rsidP="002624B8">
      <w:pPr>
        <w:pStyle w:val="ListParagraph"/>
        <w:numPr>
          <w:ilvl w:val="0"/>
          <w:numId w:val="1"/>
        </w:numPr>
        <w:spacing w:line="240" w:lineRule="exact"/>
        <w:rPr>
          <w:rFonts w:cstheme="minorHAnsi"/>
          <w:sz w:val="19"/>
          <w:szCs w:val="19"/>
        </w:rPr>
      </w:pPr>
      <w:r w:rsidRPr="00E42A3F">
        <w:rPr>
          <w:rFonts w:cstheme="minorHAnsi"/>
          <w:b/>
          <w:sz w:val="19"/>
          <w:szCs w:val="19"/>
        </w:rPr>
        <w:t xml:space="preserve">Total Recordable Incident Rate (TRIR) </w:t>
      </w:r>
      <w:r w:rsidRPr="00E42A3F">
        <w:rPr>
          <w:rFonts w:cstheme="minorHAnsi"/>
          <w:b/>
          <w:sz w:val="19"/>
          <w:szCs w:val="19"/>
          <w:shd w:val="clear" w:color="auto" w:fill="FCFCFC"/>
        </w:rPr>
        <w:t>Formula</w:t>
      </w:r>
      <w:r w:rsidRPr="00E42A3F">
        <w:rPr>
          <w:rFonts w:cstheme="minorHAnsi"/>
          <w:sz w:val="19"/>
          <w:szCs w:val="19"/>
          <w:shd w:val="clear" w:color="auto" w:fill="FCFCFC"/>
        </w:rPr>
        <w:t xml:space="preserve"> – Total Number of Recordable Cases x 200,000/divided by total hours worked by all employees during the year covered.</w:t>
      </w:r>
    </w:p>
    <w:sectPr w:rsidR="000F0959" w:rsidRPr="0026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35F91"/>
    <w:multiLevelType w:val="hybridMultilevel"/>
    <w:tmpl w:val="7FF2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B709E"/>
    <w:multiLevelType w:val="hybridMultilevel"/>
    <w:tmpl w:val="5AEC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16871"/>
    <w:multiLevelType w:val="hybridMultilevel"/>
    <w:tmpl w:val="6682ECA0"/>
    <w:lvl w:ilvl="0" w:tplc="5328B0E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2F7989"/>
    <w:multiLevelType w:val="hybridMultilevel"/>
    <w:tmpl w:val="04D6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44845"/>
    <w:multiLevelType w:val="hybridMultilevel"/>
    <w:tmpl w:val="5A8E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75112"/>
    <w:multiLevelType w:val="hybridMultilevel"/>
    <w:tmpl w:val="24F07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59"/>
    <w:rsid w:val="000D0DA7"/>
    <w:rsid w:val="000F0959"/>
    <w:rsid w:val="001F1857"/>
    <w:rsid w:val="002624B8"/>
    <w:rsid w:val="002B31EF"/>
    <w:rsid w:val="003B43F7"/>
    <w:rsid w:val="00A97E36"/>
    <w:rsid w:val="00AE29CF"/>
    <w:rsid w:val="00B650A3"/>
    <w:rsid w:val="00DD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694B7-B869-4EC1-B956-B36680CE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5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959"/>
    <w:pPr>
      <w:ind w:left="720"/>
      <w:contextualSpacing/>
    </w:pPr>
  </w:style>
  <w:style w:type="character" w:styleId="Strong">
    <w:name w:val="Strong"/>
    <w:basedOn w:val="DefaultParagraphFont"/>
    <w:uiPriority w:val="22"/>
    <w:qFormat/>
    <w:rsid w:val="000F0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61963">
      <w:bodyDiv w:val="1"/>
      <w:marLeft w:val="0"/>
      <w:marRight w:val="0"/>
      <w:marTop w:val="0"/>
      <w:marBottom w:val="0"/>
      <w:divBdr>
        <w:top w:val="none" w:sz="0" w:space="0" w:color="auto"/>
        <w:left w:val="none" w:sz="0" w:space="0" w:color="auto"/>
        <w:bottom w:val="none" w:sz="0" w:space="0" w:color="auto"/>
        <w:right w:val="none" w:sz="0" w:space="0" w:color="auto"/>
      </w:divBdr>
    </w:div>
    <w:div w:id="17010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ustrysafe.com/blog/what-does-todays-ehs-manager-do-and-how-can-safety-software-help"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sri.org/iMIS15_PROD/ISRI/Home/ISRI/Home.aspx?hkey=b5f15281-53ed-4f73-8dc0-a238a1d8c4b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18C1B344</Template>
  <TotalTime>1</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Commodor Hall</dc:creator>
  <cp:keywords/>
  <dc:description/>
  <cp:lastModifiedBy>Commodor Hall</cp:lastModifiedBy>
  <cp:revision>2</cp:revision>
  <dcterms:created xsi:type="dcterms:W3CDTF">2020-04-16T15:46:00Z</dcterms:created>
  <dcterms:modified xsi:type="dcterms:W3CDTF">2020-04-16T15:46:00Z</dcterms:modified>
</cp:coreProperties>
</file>